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34C5" w14:textId="791F6F40" w:rsidR="001323FB" w:rsidRDefault="001323FB" w:rsidP="001323FB">
      <w:pPr>
        <w:rPr>
          <w:b/>
          <w:szCs w:val="24"/>
        </w:rPr>
      </w:pPr>
    </w:p>
    <w:p w14:paraId="27C758E9" w14:textId="77777777" w:rsidR="001323FB" w:rsidRPr="00650F49" w:rsidRDefault="001323FB" w:rsidP="001323FB">
      <w:pPr>
        <w:shd w:val="clear" w:color="auto" w:fill="000000"/>
        <w:jc w:val="center"/>
        <w:rPr>
          <w:b/>
          <w:sz w:val="32"/>
          <w:szCs w:val="32"/>
        </w:rPr>
      </w:pPr>
      <w:r w:rsidRPr="00650F49">
        <w:rPr>
          <w:b/>
          <w:sz w:val="32"/>
          <w:szCs w:val="32"/>
        </w:rPr>
        <w:t xml:space="preserve">Mentoring Plan </w:t>
      </w:r>
      <w:proofErr w:type="gramStart"/>
      <w:r>
        <w:rPr>
          <w:b/>
          <w:sz w:val="32"/>
          <w:szCs w:val="32"/>
        </w:rPr>
        <w:t>For</w:t>
      </w:r>
      <w:proofErr w:type="gramEnd"/>
      <w:r>
        <w:rPr>
          <w:b/>
          <w:sz w:val="32"/>
          <w:szCs w:val="32"/>
        </w:rPr>
        <w:t xml:space="preserve"> Government or Public </w:t>
      </w:r>
      <w:r w:rsidR="00A47AE2">
        <w:rPr>
          <w:b/>
          <w:sz w:val="32"/>
          <w:szCs w:val="32"/>
        </w:rPr>
        <w:t>Interest</w:t>
      </w:r>
      <w:r>
        <w:rPr>
          <w:b/>
          <w:sz w:val="32"/>
          <w:szCs w:val="32"/>
        </w:rPr>
        <w:t xml:space="preserve"> </w:t>
      </w:r>
      <w:r w:rsidR="003839E0">
        <w:rPr>
          <w:b/>
          <w:sz w:val="32"/>
          <w:szCs w:val="32"/>
        </w:rPr>
        <w:t>Lawyers</w:t>
      </w:r>
    </w:p>
    <w:p w14:paraId="25AAB957" w14:textId="77777777" w:rsidR="001323FB" w:rsidRDefault="001323FB" w:rsidP="001323FB">
      <w:pPr>
        <w:jc w:val="center"/>
        <w:rPr>
          <w:b/>
          <w:sz w:val="20"/>
          <w:szCs w:val="20"/>
        </w:rPr>
      </w:pPr>
    </w:p>
    <w:p w14:paraId="2194F827" w14:textId="77777777" w:rsidR="001323FB" w:rsidRDefault="001323FB" w:rsidP="001323FB">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6B00B6D3" w14:textId="77777777" w:rsidR="001323FB" w:rsidRPr="00C26210" w:rsidRDefault="001323FB" w:rsidP="001323FB">
      <w:pPr>
        <w:rPr>
          <w:sz w:val="20"/>
          <w:szCs w:val="20"/>
        </w:rPr>
      </w:pPr>
    </w:p>
    <w:p w14:paraId="1572A182" w14:textId="77777777" w:rsidR="001323FB" w:rsidRPr="002F680C" w:rsidRDefault="001323FB" w:rsidP="00CC08FE">
      <w:pPr>
        <w:pStyle w:val="ListParagraph"/>
        <w:numPr>
          <w:ilvl w:val="0"/>
          <w:numId w:val="1"/>
        </w:numPr>
        <w:shd w:val="clear" w:color="auto" w:fill="A6A6A6" w:themeFill="background1" w:themeFillShade="A6"/>
        <w:ind w:left="360"/>
        <w:rPr>
          <w:b/>
          <w:sz w:val="20"/>
          <w:szCs w:val="20"/>
        </w:rPr>
      </w:pPr>
      <w:r w:rsidRPr="002F680C">
        <w:rPr>
          <w:b/>
          <w:sz w:val="20"/>
          <w:szCs w:val="20"/>
        </w:rPr>
        <w:t>Initial Planning Meeting, Personal and Professional Development (complete all)</w:t>
      </w:r>
    </w:p>
    <w:p w14:paraId="69AABE95"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1323FB" w:rsidRPr="00C26210" w14:paraId="71222936" w14:textId="77777777" w:rsidTr="00195EF4">
        <w:trPr>
          <w:cantSplit/>
          <w:jc w:val="center"/>
        </w:trPr>
        <w:tc>
          <w:tcPr>
            <w:tcW w:w="7372" w:type="dxa"/>
            <w:vAlign w:val="center"/>
          </w:tcPr>
          <w:p w14:paraId="565E497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0" w:type="dxa"/>
            <w:vAlign w:val="center"/>
          </w:tcPr>
          <w:p w14:paraId="7A357DA5"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3839E0" w:rsidRPr="00C26210" w14:paraId="75F4139D" w14:textId="77777777" w:rsidTr="00195EF4">
        <w:trPr>
          <w:cantSplit/>
          <w:jc w:val="center"/>
        </w:trPr>
        <w:tc>
          <w:tcPr>
            <w:tcW w:w="7372" w:type="dxa"/>
            <w:tcMar>
              <w:top w:w="43" w:type="dxa"/>
              <w:left w:w="115" w:type="dxa"/>
              <w:bottom w:w="43" w:type="dxa"/>
              <w:right w:w="115" w:type="dxa"/>
            </w:tcMar>
            <w:vAlign w:val="center"/>
          </w:tcPr>
          <w:p w14:paraId="4693E9A3" w14:textId="0FF7F624" w:rsidR="003839E0" w:rsidRPr="00043712" w:rsidRDefault="00095755" w:rsidP="003839E0">
            <w:pPr>
              <w:pStyle w:val="ListParagraph"/>
              <w:ind w:left="0"/>
              <w:rPr>
                <w:sz w:val="20"/>
                <w:szCs w:val="20"/>
              </w:rPr>
            </w:pPr>
            <w:r w:rsidRPr="00043712">
              <w:rPr>
                <w:sz w:val="20"/>
                <w:szCs w:val="20"/>
              </w:rPr>
              <w:t>Meet</w:t>
            </w:r>
            <w:r w:rsidR="003839E0" w:rsidRPr="00043712">
              <w:rPr>
                <w:sz w:val="20"/>
                <w:szCs w:val="20"/>
              </w:rPr>
              <w:t xml:space="preserve"> in person (where practical)</w:t>
            </w:r>
            <w:r w:rsidR="000F0FF8">
              <w:rPr>
                <w:sz w:val="20"/>
                <w:szCs w:val="20"/>
              </w:rPr>
              <w:t xml:space="preserve"> or virtually</w:t>
            </w:r>
            <w:r w:rsidR="003839E0" w:rsidRPr="00043712">
              <w:rPr>
                <w:sz w:val="20"/>
                <w:szCs w:val="20"/>
              </w:rPr>
              <w:t xml:space="preserve"> to prepare the customized mentoring plan based on </w:t>
            </w:r>
            <w:r w:rsidR="00562B11">
              <w:rPr>
                <w:sz w:val="20"/>
                <w:szCs w:val="20"/>
              </w:rPr>
              <w:t>Mentee</w:t>
            </w:r>
            <w:r w:rsidR="003839E0" w:rsidRPr="00043712">
              <w:rPr>
                <w:sz w:val="20"/>
                <w:szCs w:val="20"/>
              </w:rPr>
              <w:t xml:space="preserve">’s needs and interests. Utilize the CAMP </w:t>
            </w:r>
            <w:hyperlink r:id="rId8" w:history="1">
              <w:r w:rsidR="003839E0" w:rsidRPr="00043712">
                <w:rPr>
                  <w:rStyle w:val="Hyperlink"/>
                  <w:sz w:val="20"/>
                  <w:szCs w:val="20"/>
                </w:rPr>
                <w:t>Initial Goal Plan &amp; Meeting Guide</w:t>
              </w:r>
            </w:hyperlink>
            <w:r w:rsidR="003839E0" w:rsidRPr="00043712">
              <w:rPr>
                <w:sz w:val="20"/>
                <w:szCs w:val="20"/>
              </w:rPr>
              <w:t xml:space="preserve"> to assist your mentoring pair in developing goals for the mentoring relationship.</w:t>
            </w:r>
          </w:p>
        </w:tc>
        <w:tc>
          <w:tcPr>
            <w:tcW w:w="1800" w:type="dxa"/>
            <w:vAlign w:val="center"/>
          </w:tcPr>
          <w:p w14:paraId="3376F725" w14:textId="77777777" w:rsidR="003839E0" w:rsidRPr="00C26210" w:rsidRDefault="003839E0" w:rsidP="003839E0">
            <w:pPr>
              <w:pStyle w:val="ListParagraph"/>
              <w:ind w:left="0"/>
              <w:jc w:val="center"/>
              <w:rPr>
                <w:sz w:val="20"/>
                <w:szCs w:val="20"/>
              </w:rPr>
            </w:pPr>
          </w:p>
        </w:tc>
      </w:tr>
      <w:tr w:rsidR="003839E0" w:rsidRPr="00C26210" w14:paraId="2B240A9C" w14:textId="77777777" w:rsidTr="00195EF4">
        <w:trPr>
          <w:cantSplit/>
          <w:jc w:val="center"/>
        </w:trPr>
        <w:tc>
          <w:tcPr>
            <w:tcW w:w="7372" w:type="dxa"/>
            <w:tcMar>
              <w:top w:w="43" w:type="dxa"/>
              <w:bottom w:w="43" w:type="dxa"/>
            </w:tcMar>
            <w:vAlign w:val="center"/>
          </w:tcPr>
          <w:p w14:paraId="2FA171AF" w14:textId="7ABF5BA3" w:rsidR="003839E0" w:rsidRPr="006E0AAD" w:rsidRDefault="003839E0">
            <w:pPr>
              <w:pStyle w:val="ListParagraph"/>
              <w:ind w:left="0"/>
              <w:rPr>
                <w:sz w:val="22"/>
              </w:rPr>
            </w:pPr>
            <w:r w:rsidRPr="00C26210">
              <w:rPr>
                <w:sz w:val="20"/>
                <w:szCs w:val="20"/>
              </w:rPr>
              <w:t xml:space="preserve">Discuss best communication methods for each </w:t>
            </w:r>
            <w:r w:rsidR="00095755">
              <w:rPr>
                <w:sz w:val="20"/>
                <w:szCs w:val="20"/>
              </w:rPr>
              <w:t>participant</w:t>
            </w:r>
            <w:r w:rsidR="00095755" w:rsidRPr="00C26210">
              <w:rPr>
                <w:sz w:val="20"/>
                <w:szCs w:val="20"/>
              </w:rPr>
              <w:t xml:space="preserve"> and</w:t>
            </w:r>
            <w:r w:rsidRPr="00C26210">
              <w:rPr>
                <w:sz w:val="20"/>
                <w:szCs w:val="20"/>
              </w:rPr>
              <w:t xml:space="preserve"> consider scheduling all remaining meetings/activities for the mentoring term.</w:t>
            </w:r>
          </w:p>
        </w:tc>
        <w:tc>
          <w:tcPr>
            <w:tcW w:w="1800" w:type="dxa"/>
            <w:vAlign w:val="center"/>
          </w:tcPr>
          <w:p w14:paraId="5F9325F5" w14:textId="77777777" w:rsidR="003839E0" w:rsidRPr="00C26210" w:rsidRDefault="003839E0" w:rsidP="003839E0">
            <w:pPr>
              <w:pStyle w:val="ListParagraph"/>
              <w:ind w:left="0"/>
              <w:jc w:val="center"/>
              <w:rPr>
                <w:sz w:val="20"/>
                <w:szCs w:val="20"/>
              </w:rPr>
            </w:pPr>
          </w:p>
        </w:tc>
      </w:tr>
      <w:tr w:rsidR="001323FB" w:rsidRPr="00C26210" w14:paraId="763AAC8A" w14:textId="77777777" w:rsidTr="00195EF4">
        <w:trPr>
          <w:cantSplit/>
          <w:jc w:val="center"/>
        </w:trPr>
        <w:tc>
          <w:tcPr>
            <w:tcW w:w="7372" w:type="dxa"/>
            <w:tcMar>
              <w:top w:w="43" w:type="dxa"/>
              <w:bottom w:w="43" w:type="dxa"/>
            </w:tcMar>
            <w:vAlign w:val="center"/>
          </w:tcPr>
          <w:p w14:paraId="20B7DE03" w14:textId="2D43FECC" w:rsidR="001323FB" w:rsidRPr="00C26210" w:rsidRDefault="001323FB" w:rsidP="00CC08FE">
            <w:pPr>
              <w:pStyle w:val="ListParagraph"/>
              <w:ind w:left="0"/>
              <w:jc w:val="both"/>
              <w:rPr>
                <w:sz w:val="20"/>
                <w:szCs w:val="20"/>
              </w:rPr>
            </w:pPr>
            <w:r w:rsidRPr="00C26210">
              <w:rPr>
                <w:sz w:val="20"/>
                <w:szCs w:val="20"/>
              </w:rPr>
              <w:t xml:space="preserve">In tailoring the mentoring plan to </w:t>
            </w:r>
            <w:r w:rsidR="00562B11">
              <w:rPr>
                <w:sz w:val="20"/>
                <w:szCs w:val="20"/>
              </w:rPr>
              <w:t>Mentee</w:t>
            </w:r>
            <w:r w:rsidRPr="00C26210">
              <w:rPr>
                <w:sz w:val="20"/>
                <w:szCs w:val="20"/>
              </w:rPr>
              <w:t>’s interests, discuss long-term career goals and identify ways to achieve them.</w:t>
            </w:r>
          </w:p>
        </w:tc>
        <w:tc>
          <w:tcPr>
            <w:tcW w:w="1800" w:type="dxa"/>
            <w:vAlign w:val="center"/>
          </w:tcPr>
          <w:p w14:paraId="48CCDCAD" w14:textId="77777777" w:rsidR="001323FB" w:rsidRPr="00C26210" w:rsidRDefault="001323FB" w:rsidP="00195EF4">
            <w:pPr>
              <w:pStyle w:val="ListParagraph"/>
              <w:ind w:left="0"/>
              <w:jc w:val="center"/>
              <w:rPr>
                <w:sz w:val="20"/>
                <w:szCs w:val="20"/>
              </w:rPr>
            </w:pPr>
          </w:p>
        </w:tc>
      </w:tr>
      <w:tr w:rsidR="001323FB" w:rsidRPr="00C26210" w14:paraId="798A8868" w14:textId="77777777" w:rsidTr="00195EF4">
        <w:trPr>
          <w:cantSplit/>
          <w:jc w:val="center"/>
        </w:trPr>
        <w:tc>
          <w:tcPr>
            <w:tcW w:w="7372" w:type="dxa"/>
            <w:tcMar>
              <w:top w:w="43" w:type="dxa"/>
              <w:bottom w:w="43" w:type="dxa"/>
            </w:tcMar>
            <w:vAlign w:val="center"/>
          </w:tcPr>
          <w:p w14:paraId="43FA2637" w14:textId="14809B7D" w:rsidR="001323FB" w:rsidRPr="00C26210" w:rsidRDefault="001323FB">
            <w:pPr>
              <w:pStyle w:val="ListParagraph"/>
              <w:ind w:left="0"/>
              <w:jc w:val="both"/>
              <w:rPr>
                <w:sz w:val="20"/>
                <w:szCs w:val="20"/>
              </w:rPr>
            </w:pPr>
            <w:r w:rsidRPr="00C26210">
              <w:rPr>
                <w:sz w:val="20"/>
                <w:szCs w:val="20"/>
              </w:rPr>
              <w:t xml:space="preserve">Include in the meeting a day-in-the-life discussion, including discussion about work-life </w:t>
            </w:r>
            <w:r w:rsidR="00FB78AA">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6E98DE06" w14:textId="77777777" w:rsidR="001323FB" w:rsidRPr="00C26210" w:rsidRDefault="001323FB" w:rsidP="00195EF4">
            <w:pPr>
              <w:pStyle w:val="ListParagraph"/>
              <w:ind w:left="0"/>
              <w:jc w:val="center"/>
              <w:rPr>
                <w:sz w:val="20"/>
                <w:szCs w:val="20"/>
              </w:rPr>
            </w:pPr>
          </w:p>
        </w:tc>
      </w:tr>
    </w:tbl>
    <w:p w14:paraId="52A00447" w14:textId="77777777" w:rsidR="001323FB" w:rsidRPr="00C26210" w:rsidRDefault="001323FB" w:rsidP="001323FB">
      <w:pPr>
        <w:pStyle w:val="ListParagraph"/>
        <w:rPr>
          <w:sz w:val="20"/>
          <w:szCs w:val="20"/>
        </w:rPr>
      </w:pPr>
    </w:p>
    <w:p w14:paraId="5FD0F36E"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t>The Colorado Bar and Legal Community (complete at least one)</w:t>
      </w:r>
    </w:p>
    <w:p w14:paraId="6E17A26B"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1323FB" w:rsidRPr="00C26210" w14:paraId="3F78D2AF" w14:textId="77777777" w:rsidTr="00195EF4">
        <w:trPr>
          <w:cantSplit/>
          <w:jc w:val="center"/>
        </w:trPr>
        <w:tc>
          <w:tcPr>
            <w:tcW w:w="7289" w:type="dxa"/>
            <w:vAlign w:val="center"/>
          </w:tcPr>
          <w:p w14:paraId="1BBECC73" w14:textId="77777777" w:rsidR="001323FB" w:rsidRPr="00C26210" w:rsidRDefault="001323FB" w:rsidP="00195EF4">
            <w:pPr>
              <w:pStyle w:val="ListParagraph"/>
              <w:ind w:left="0"/>
              <w:jc w:val="center"/>
              <w:rPr>
                <w:sz w:val="20"/>
                <w:szCs w:val="20"/>
              </w:rPr>
            </w:pPr>
            <w:r w:rsidRPr="00C26210">
              <w:rPr>
                <w:sz w:val="20"/>
                <w:szCs w:val="20"/>
              </w:rPr>
              <w:t>Action</w:t>
            </w:r>
          </w:p>
        </w:tc>
        <w:tc>
          <w:tcPr>
            <w:tcW w:w="1877" w:type="dxa"/>
            <w:vAlign w:val="center"/>
          </w:tcPr>
          <w:p w14:paraId="01B608B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07308385" w14:textId="77777777" w:rsidTr="00195EF4">
        <w:trPr>
          <w:cantSplit/>
          <w:jc w:val="center"/>
        </w:trPr>
        <w:tc>
          <w:tcPr>
            <w:tcW w:w="7289" w:type="dxa"/>
            <w:tcMar>
              <w:top w:w="43" w:type="dxa"/>
              <w:left w:w="115" w:type="dxa"/>
              <w:bottom w:w="43" w:type="dxa"/>
              <w:right w:w="115" w:type="dxa"/>
            </w:tcMar>
            <w:vAlign w:val="center"/>
          </w:tcPr>
          <w:p w14:paraId="19374FA2" w14:textId="2B4E629D" w:rsidR="001323FB" w:rsidRPr="00C26210" w:rsidRDefault="001323FB" w:rsidP="00CC08FE">
            <w:pPr>
              <w:pStyle w:val="ListParagraph"/>
              <w:ind w:left="0"/>
              <w:jc w:val="both"/>
              <w:rPr>
                <w:sz w:val="20"/>
                <w:szCs w:val="20"/>
              </w:rPr>
            </w:pPr>
            <w:r w:rsidRPr="00C26210">
              <w:rPr>
                <w:sz w:val="20"/>
                <w:szCs w:val="20"/>
              </w:rPr>
              <w:t xml:space="preserve">Attend a meeting of an organized bar association or other attorney networking event together. Introduce </w:t>
            </w:r>
            <w:r w:rsidR="00562B11">
              <w:rPr>
                <w:sz w:val="20"/>
                <w:szCs w:val="20"/>
              </w:rPr>
              <w:t>Mentee</w:t>
            </w:r>
            <w:r w:rsidRPr="00C26210">
              <w:rPr>
                <w:sz w:val="20"/>
                <w:szCs w:val="20"/>
              </w:rPr>
              <w:t xml:space="preserve"> to other attorneys in attendance. Discuss the advantages of bar association involvement </w:t>
            </w:r>
            <w:r w:rsidR="00A47AE2">
              <w:rPr>
                <w:sz w:val="20"/>
                <w:szCs w:val="20"/>
              </w:rPr>
              <w:t xml:space="preserve">for government and public interest attorneys </w:t>
            </w:r>
            <w:r w:rsidRPr="00C26210">
              <w:rPr>
                <w:sz w:val="20"/>
                <w:szCs w:val="20"/>
              </w:rPr>
              <w:t>and discuss the many local, state, and national associations available</w:t>
            </w:r>
            <w:r w:rsidR="00A47AE2">
              <w:rPr>
                <w:sz w:val="20"/>
                <w:szCs w:val="20"/>
              </w:rPr>
              <w:t xml:space="preserve"> in Colorad</w:t>
            </w:r>
            <w:r w:rsidR="00ED34B7">
              <w:rPr>
                <w:sz w:val="20"/>
                <w:szCs w:val="20"/>
              </w:rPr>
              <w:t>o</w:t>
            </w:r>
            <w:r w:rsidRPr="00C26210">
              <w:rPr>
                <w:sz w:val="20"/>
                <w:szCs w:val="20"/>
              </w:rPr>
              <w:t>.</w:t>
            </w:r>
          </w:p>
        </w:tc>
        <w:tc>
          <w:tcPr>
            <w:tcW w:w="1877" w:type="dxa"/>
            <w:vAlign w:val="center"/>
          </w:tcPr>
          <w:p w14:paraId="79F6ABFA" w14:textId="77777777" w:rsidR="001323FB" w:rsidRPr="00C26210" w:rsidRDefault="001323FB" w:rsidP="00CC08FE">
            <w:pPr>
              <w:pStyle w:val="ListParagraph"/>
              <w:ind w:left="0"/>
              <w:jc w:val="both"/>
              <w:rPr>
                <w:sz w:val="20"/>
                <w:szCs w:val="20"/>
              </w:rPr>
            </w:pPr>
          </w:p>
        </w:tc>
      </w:tr>
      <w:tr w:rsidR="001323FB" w:rsidRPr="00C26210" w14:paraId="2FA577C9" w14:textId="77777777" w:rsidTr="00195EF4">
        <w:trPr>
          <w:cantSplit/>
          <w:jc w:val="center"/>
        </w:trPr>
        <w:tc>
          <w:tcPr>
            <w:tcW w:w="7289" w:type="dxa"/>
            <w:tcMar>
              <w:top w:w="43" w:type="dxa"/>
              <w:left w:w="115" w:type="dxa"/>
              <w:bottom w:w="43" w:type="dxa"/>
              <w:right w:w="115" w:type="dxa"/>
            </w:tcMar>
            <w:vAlign w:val="center"/>
          </w:tcPr>
          <w:p w14:paraId="6B3235CB" w14:textId="7929F04E" w:rsidR="001323FB" w:rsidRPr="00C26210" w:rsidRDefault="00ED34B7" w:rsidP="00CC08FE">
            <w:pPr>
              <w:pStyle w:val="ListParagraph"/>
              <w:ind w:left="0"/>
              <w:jc w:val="both"/>
              <w:rPr>
                <w:sz w:val="20"/>
                <w:szCs w:val="20"/>
              </w:rPr>
            </w:pPr>
            <w:r>
              <w:rPr>
                <w:sz w:val="20"/>
                <w:szCs w:val="20"/>
              </w:rPr>
              <w:t xml:space="preserve">Introduce mentee to at least three members of the judiciary before which </w:t>
            </w:r>
            <w:r w:rsidR="00562B11">
              <w:rPr>
                <w:sz w:val="20"/>
                <w:szCs w:val="20"/>
              </w:rPr>
              <w:t>Mentee</w:t>
            </w:r>
            <w:r>
              <w:rPr>
                <w:sz w:val="20"/>
                <w:szCs w:val="20"/>
              </w:rPr>
              <w:t xml:space="preserve"> is most likely to practice, including associated court personnel. For public defenders and district attorneys, introduce mentee to at least one PD or DA assigned to that division.</w:t>
            </w:r>
          </w:p>
        </w:tc>
        <w:tc>
          <w:tcPr>
            <w:tcW w:w="1877" w:type="dxa"/>
            <w:vAlign w:val="center"/>
          </w:tcPr>
          <w:p w14:paraId="00469A98" w14:textId="77777777" w:rsidR="001323FB" w:rsidRPr="00C26210" w:rsidRDefault="001323FB" w:rsidP="00CC08FE">
            <w:pPr>
              <w:pStyle w:val="ListParagraph"/>
              <w:ind w:left="0"/>
              <w:jc w:val="both"/>
              <w:rPr>
                <w:sz w:val="20"/>
                <w:szCs w:val="20"/>
              </w:rPr>
            </w:pPr>
          </w:p>
        </w:tc>
      </w:tr>
      <w:tr w:rsidR="003839E0" w:rsidRPr="00C26210" w14:paraId="5A4FB054" w14:textId="77777777" w:rsidTr="00195EF4">
        <w:trPr>
          <w:cantSplit/>
          <w:jc w:val="center"/>
        </w:trPr>
        <w:tc>
          <w:tcPr>
            <w:tcW w:w="7289" w:type="dxa"/>
            <w:tcMar>
              <w:top w:w="43" w:type="dxa"/>
              <w:left w:w="115" w:type="dxa"/>
              <w:bottom w:w="43" w:type="dxa"/>
              <w:right w:w="115" w:type="dxa"/>
            </w:tcMar>
            <w:vAlign w:val="center"/>
          </w:tcPr>
          <w:p w14:paraId="79F12732" w14:textId="77777777" w:rsidR="003839E0" w:rsidRDefault="003839E0" w:rsidP="00CC08FE">
            <w:pPr>
              <w:pStyle w:val="ListParagraph"/>
              <w:ind w:left="0"/>
              <w:jc w:val="both"/>
              <w:rPr>
                <w:sz w:val="20"/>
                <w:szCs w:val="20"/>
              </w:rPr>
            </w:pPr>
            <w:r>
              <w:rPr>
                <w:sz w:val="20"/>
                <w:szCs w:val="20"/>
              </w:rPr>
              <w:t>Meet together with a prosecutor or public defender who has been in practice for at least 20 years. Discuss the ways in which the legal profession has changed for government attorneys in criminal practice over the last 20 years.</w:t>
            </w:r>
          </w:p>
        </w:tc>
        <w:tc>
          <w:tcPr>
            <w:tcW w:w="1877" w:type="dxa"/>
            <w:vAlign w:val="center"/>
          </w:tcPr>
          <w:p w14:paraId="337994D6" w14:textId="77777777" w:rsidR="003839E0" w:rsidRPr="00C26210" w:rsidRDefault="003839E0" w:rsidP="00CC08FE">
            <w:pPr>
              <w:pStyle w:val="ListParagraph"/>
              <w:ind w:left="0"/>
              <w:jc w:val="both"/>
              <w:rPr>
                <w:sz w:val="20"/>
                <w:szCs w:val="20"/>
              </w:rPr>
            </w:pPr>
          </w:p>
        </w:tc>
      </w:tr>
    </w:tbl>
    <w:p w14:paraId="544DCF05" w14:textId="77777777" w:rsidR="003839E0" w:rsidRPr="00F4218D" w:rsidRDefault="003839E0" w:rsidP="00F4218D">
      <w:pPr>
        <w:jc w:val="both"/>
        <w:rPr>
          <w:sz w:val="20"/>
          <w:szCs w:val="20"/>
        </w:rPr>
      </w:pPr>
    </w:p>
    <w:p w14:paraId="480BD20D" w14:textId="77777777" w:rsidR="003839E0" w:rsidRPr="002A2F0C" w:rsidRDefault="003839E0">
      <w:pPr>
        <w:pStyle w:val="ListParagraph"/>
        <w:numPr>
          <w:ilvl w:val="0"/>
          <w:numId w:val="1"/>
        </w:numPr>
        <w:rPr>
          <w:b/>
          <w:sz w:val="20"/>
          <w:szCs w:val="20"/>
          <w:highlight w:val="lightGray"/>
        </w:rPr>
      </w:pPr>
      <w:r w:rsidRPr="002A2F0C">
        <w:rPr>
          <w:b/>
          <w:sz w:val="20"/>
          <w:szCs w:val="20"/>
          <w:highlight w:val="lightGray"/>
        </w:rPr>
        <w:t>Developing Professional Identity &amp; Lawyer Well-Being (complete at least two)</w:t>
      </w:r>
      <w:r w:rsidR="002F680C">
        <w:rPr>
          <w:b/>
          <w:sz w:val="20"/>
          <w:szCs w:val="20"/>
          <w:highlight w:val="lightGray"/>
        </w:rPr>
        <w:tab/>
      </w:r>
      <w:r w:rsidR="002F680C">
        <w:rPr>
          <w:b/>
          <w:sz w:val="20"/>
          <w:szCs w:val="20"/>
          <w:highlight w:val="lightGray"/>
        </w:rPr>
        <w:tab/>
      </w:r>
      <w:r w:rsidR="002F680C">
        <w:rPr>
          <w:b/>
          <w:sz w:val="20"/>
          <w:szCs w:val="20"/>
          <w:highlight w:val="lightGray"/>
        </w:rPr>
        <w:tab/>
      </w:r>
    </w:p>
    <w:p w14:paraId="08861165" w14:textId="77777777" w:rsidR="003839E0" w:rsidRPr="00C26210" w:rsidRDefault="003839E0" w:rsidP="003839E0">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3839E0" w:rsidRPr="00C26210" w14:paraId="378A8E6C" w14:textId="77777777" w:rsidTr="00045259">
        <w:trPr>
          <w:cantSplit/>
          <w:jc w:val="center"/>
        </w:trPr>
        <w:tc>
          <w:tcPr>
            <w:tcW w:w="7290" w:type="dxa"/>
            <w:vAlign w:val="center"/>
          </w:tcPr>
          <w:p w14:paraId="1A560CE9" w14:textId="77777777" w:rsidR="003839E0" w:rsidRPr="00C26210" w:rsidRDefault="003839E0" w:rsidP="00045259">
            <w:pPr>
              <w:pStyle w:val="ListParagraph"/>
              <w:ind w:left="0"/>
              <w:jc w:val="center"/>
              <w:rPr>
                <w:sz w:val="20"/>
                <w:szCs w:val="20"/>
              </w:rPr>
            </w:pPr>
            <w:r w:rsidRPr="00C26210">
              <w:rPr>
                <w:sz w:val="20"/>
                <w:szCs w:val="20"/>
              </w:rPr>
              <w:t>Action</w:t>
            </w:r>
          </w:p>
        </w:tc>
        <w:tc>
          <w:tcPr>
            <w:tcW w:w="2088" w:type="dxa"/>
            <w:vAlign w:val="center"/>
          </w:tcPr>
          <w:p w14:paraId="723A097A"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66B97A9B" w14:textId="77777777" w:rsidTr="00045259">
        <w:trPr>
          <w:cantSplit/>
          <w:jc w:val="center"/>
        </w:trPr>
        <w:tc>
          <w:tcPr>
            <w:tcW w:w="7290" w:type="dxa"/>
            <w:tcMar>
              <w:top w:w="43" w:type="dxa"/>
              <w:left w:w="115" w:type="dxa"/>
              <w:bottom w:w="43" w:type="dxa"/>
              <w:right w:w="115" w:type="dxa"/>
            </w:tcMar>
            <w:vAlign w:val="center"/>
          </w:tcPr>
          <w:p w14:paraId="59869DE0" w14:textId="033A0A70" w:rsidR="003839E0" w:rsidRDefault="003839E0" w:rsidP="00045259">
            <w:pPr>
              <w:pStyle w:val="ListParagraph"/>
              <w:ind w:left="0"/>
              <w:rPr>
                <w:sz w:val="20"/>
                <w:szCs w:val="20"/>
              </w:rPr>
            </w:pPr>
            <w:r w:rsidRPr="00531C2C">
              <w:rPr>
                <w:sz w:val="20"/>
                <w:szCs w:val="20"/>
              </w:rPr>
              <w:lastRenderedPageBreak/>
              <w:t xml:space="preserve">It is envisioned that this component of the </w:t>
            </w:r>
            <w:r w:rsidR="00562B11">
              <w:rPr>
                <w:sz w:val="20"/>
                <w:szCs w:val="20"/>
              </w:rPr>
              <w:t>m</w:t>
            </w:r>
            <w:r w:rsidRPr="00531C2C">
              <w:rPr>
                <w:sz w:val="20"/>
                <w:szCs w:val="20"/>
              </w:rPr>
              <w:t xml:space="preserve">entoring </w:t>
            </w:r>
            <w:r w:rsidR="00562B11">
              <w:rPr>
                <w:sz w:val="20"/>
                <w:szCs w:val="20"/>
              </w:rPr>
              <w:t>p</w:t>
            </w:r>
            <w:r w:rsidRPr="00531C2C">
              <w:rPr>
                <w:sz w:val="20"/>
                <w:szCs w:val="20"/>
              </w:rPr>
              <w:t xml:space="preserve">lan should be creatively tailored for the individual mentee’s needs. The discussion should focus on understanding “why” </w:t>
            </w:r>
            <w:r w:rsidR="00562B11">
              <w:rPr>
                <w:sz w:val="20"/>
                <w:szCs w:val="20"/>
              </w:rPr>
              <w:t>Mentee</w:t>
            </w:r>
            <w:r w:rsidRPr="00531C2C">
              <w:rPr>
                <w:sz w:val="20"/>
                <w:szCs w:val="20"/>
              </w:rPr>
              <w:t xml:space="preserve"> chose the profession of law and what </w:t>
            </w:r>
            <w:r w:rsidR="00562B11">
              <w:rPr>
                <w:sz w:val="20"/>
                <w:szCs w:val="20"/>
              </w:rPr>
              <w:t>Mentee</w:t>
            </w:r>
            <w:r w:rsidRPr="00531C2C">
              <w:rPr>
                <w:sz w:val="20"/>
                <w:szCs w:val="20"/>
              </w:rPr>
              <w:t xml:space="preserve"> seeks to accomplish in their professional role. </w:t>
            </w:r>
          </w:p>
          <w:p w14:paraId="1C636FA5" w14:textId="77777777" w:rsidR="003839E0" w:rsidRDefault="003839E0" w:rsidP="00045259">
            <w:pPr>
              <w:pStyle w:val="ListParagraph"/>
              <w:ind w:left="0"/>
              <w:rPr>
                <w:sz w:val="20"/>
                <w:szCs w:val="20"/>
              </w:rPr>
            </w:pPr>
          </w:p>
          <w:p w14:paraId="2DBEDB8B" w14:textId="64AF2CD9" w:rsidR="003839E0" w:rsidRDefault="003839E0" w:rsidP="003839E0">
            <w:pPr>
              <w:pStyle w:val="ListParagraph"/>
              <w:numPr>
                <w:ilvl w:val="0"/>
                <w:numId w:val="6"/>
              </w:numPr>
              <w:rPr>
                <w:sz w:val="20"/>
                <w:szCs w:val="20"/>
              </w:rPr>
            </w:pPr>
            <w:r w:rsidRPr="00531C2C">
              <w:rPr>
                <w:sz w:val="20"/>
                <w:szCs w:val="20"/>
              </w:rPr>
              <w:t xml:space="preserve">How does </w:t>
            </w:r>
            <w:r w:rsidR="00562B11">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0DF92BBB" w14:textId="2F586996" w:rsidR="003839E0" w:rsidRDefault="003839E0" w:rsidP="003839E0">
            <w:pPr>
              <w:pStyle w:val="ListParagraph"/>
              <w:numPr>
                <w:ilvl w:val="0"/>
                <w:numId w:val="6"/>
              </w:numPr>
              <w:rPr>
                <w:sz w:val="20"/>
                <w:szCs w:val="20"/>
              </w:rPr>
            </w:pPr>
            <w:r>
              <w:rPr>
                <w:sz w:val="20"/>
                <w:szCs w:val="20"/>
              </w:rPr>
              <w:t xml:space="preserve">What characteristics, skills, and attributes does </w:t>
            </w:r>
            <w:r w:rsidR="00562B11">
              <w:rPr>
                <w:sz w:val="20"/>
                <w:szCs w:val="20"/>
              </w:rPr>
              <w:t>Mentee</w:t>
            </w:r>
            <w:r>
              <w:rPr>
                <w:sz w:val="20"/>
                <w:szCs w:val="20"/>
              </w:rPr>
              <w:t xml:space="preserve"> have that will allow them to find professional success? </w:t>
            </w:r>
          </w:p>
          <w:p w14:paraId="2B0F5C4F" w14:textId="6DD7676C" w:rsidR="003839E0" w:rsidRDefault="003839E0" w:rsidP="003839E0">
            <w:pPr>
              <w:pStyle w:val="ListParagraph"/>
              <w:numPr>
                <w:ilvl w:val="0"/>
                <w:numId w:val="6"/>
              </w:numPr>
              <w:rPr>
                <w:sz w:val="20"/>
                <w:szCs w:val="20"/>
              </w:rPr>
            </w:pPr>
            <w:r>
              <w:rPr>
                <w:sz w:val="20"/>
                <w:szCs w:val="20"/>
              </w:rPr>
              <w:t xml:space="preserve">Who are the people in </w:t>
            </w:r>
            <w:r w:rsidR="00562B11">
              <w:rPr>
                <w:sz w:val="20"/>
                <w:szCs w:val="20"/>
              </w:rPr>
              <w:t>Mentee</w:t>
            </w:r>
            <w:r>
              <w:rPr>
                <w:sz w:val="20"/>
                <w:szCs w:val="20"/>
              </w:rPr>
              <w:t>’s personal and professional community who will support them in finding professional success?</w:t>
            </w:r>
          </w:p>
          <w:p w14:paraId="0754FF18" w14:textId="77777777" w:rsidR="003839E0" w:rsidRDefault="003839E0" w:rsidP="00045259">
            <w:pPr>
              <w:pStyle w:val="ListParagraph"/>
              <w:rPr>
                <w:sz w:val="20"/>
                <w:szCs w:val="20"/>
              </w:rPr>
            </w:pPr>
          </w:p>
          <w:p w14:paraId="62CAFEA1" w14:textId="0A4FC8AB" w:rsidR="003839E0" w:rsidRPr="00531C2C" w:rsidRDefault="003839E0">
            <w:pPr>
              <w:pStyle w:val="ListParagraph"/>
              <w:ind w:left="0"/>
              <w:rPr>
                <w:sz w:val="20"/>
                <w:szCs w:val="20"/>
              </w:rPr>
            </w:pPr>
            <w:r>
              <w:rPr>
                <w:sz w:val="20"/>
                <w:szCs w:val="20"/>
              </w:rPr>
              <w:t xml:space="preserve">Assist </w:t>
            </w:r>
            <w:r w:rsidR="00562B11">
              <w:rPr>
                <w:sz w:val="20"/>
                <w:szCs w:val="20"/>
              </w:rPr>
              <w:t>Mentee</w:t>
            </w:r>
            <w:r>
              <w:rPr>
                <w:sz w:val="20"/>
                <w:szCs w:val="20"/>
              </w:rPr>
              <w:t xml:space="preserve"> in articulating their “Professional Identity” as a lawyer. Utilize </w:t>
            </w:r>
            <w:r w:rsidRPr="00531C2C">
              <w:rPr>
                <w:sz w:val="20"/>
                <w:szCs w:val="20"/>
              </w:rPr>
              <w:t>John Bliss</w:t>
            </w:r>
            <w:r w:rsidR="00635DA9">
              <w:rPr>
                <w:sz w:val="20"/>
                <w:szCs w:val="20"/>
              </w:rPr>
              <w:t xml:space="preserve">’ </w:t>
            </w:r>
            <w:hyperlink r:id="rId9" w:history="1">
              <w:r w:rsidR="00635DA9" w:rsidRPr="00635DA9">
                <w:rPr>
                  <w:rStyle w:val="Hyperlink"/>
                  <w:sz w:val="20"/>
                  <w:szCs w:val="20"/>
                </w:rPr>
                <w:t>The Professional Identity Formation of Lawyers</w:t>
              </w:r>
            </w:hyperlink>
            <w:r w:rsidR="00635DA9">
              <w:rPr>
                <w:sz w:val="20"/>
                <w:szCs w:val="20"/>
              </w:rPr>
              <w:t xml:space="preserve"> </w:t>
            </w:r>
            <w:r>
              <w:rPr>
                <w:sz w:val="20"/>
                <w:szCs w:val="20"/>
              </w:rPr>
              <w:t xml:space="preserve">to assist your mentoring pair in facilitating this discussion. </w:t>
            </w:r>
          </w:p>
        </w:tc>
        <w:tc>
          <w:tcPr>
            <w:tcW w:w="2088" w:type="dxa"/>
            <w:vAlign w:val="center"/>
          </w:tcPr>
          <w:p w14:paraId="20974832" w14:textId="77777777" w:rsidR="003839E0" w:rsidRPr="00C26210" w:rsidRDefault="003839E0" w:rsidP="00045259">
            <w:pPr>
              <w:pStyle w:val="ListParagraph"/>
              <w:ind w:left="0"/>
              <w:jc w:val="center"/>
              <w:rPr>
                <w:sz w:val="20"/>
                <w:szCs w:val="20"/>
              </w:rPr>
            </w:pPr>
          </w:p>
        </w:tc>
      </w:tr>
      <w:tr w:rsidR="003839E0" w:rsidRPr="00C26210" w14:paraId="3843CBF1" w14:textId="77777777" w:rsidTr="00045259">
        <w:trPr>
          <w:cantSplit/>
          <w:jc w:val="center"/>
        </w:trPr>
        <w:tc>
          <w:tcPr>
            <w:tcW w:w="7290" w:type="dxa"/>
            <w:tcMar>
              <w:top w:w="43" w:type="dxa"/>
              <w:left w:w="115" w:type="dxa"/>
              <w:bottom w:w="43" w:type="dxa"/>
              <w:right w:w="115" w:type="dxa"/>
            </w:tcMar>
            <w:vAlign w:val="center"/>
          </w:tcPr>
          <w:p w14:paraId="74A18158" w14:textId="77777777" w:rsidR="003839E0" w:rsidRPr="00226AD2" w:rsidRDefault="003839E0"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72EC0287" w14:textId="77777777" w:rsidR="003839E0" w:rsidRPr="00226AD2" w:rsidRDefault="003839E0" w:rsidP="00045259">
            <w:pPr>
              <w:pStyle w:val="ListParagraph"/>
              <w:rPr>
                <w:sz w:val="20"/>
                <w:szCs w:val="20"/>
              </w:rPr>
            </w:pPr>
          </w:p>
          <w:p w14:paraId="6329F518" w14:textId="5DF30608" w:rsidR="003839E0" w:rsidRPr="00226AD2" w:rsidRDefault="003839E0"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443067">
              <w:rPr>
                <w:sz w:val="20"/>
                <w:szCs w:val="20"/>
              </w:rPr>
              <w:t>;</w:t>
            </w:r>
            <w:r w:rsidRPr="00226AD2">
              <w:rPr>
                <w:sz w:val="20"/>
                <w:szCs w:val="20"/>
              </w:rPr>
              <w:t xml:space="preserve"> </w:t>
            </w:r>
            <w:r w:rsidR="00443067">
              <w:rPr>
                <w:sz w:val="20"/>
                <w:szCs w:val="20"/>
              </w:rPr>
              <w:t>d</w:t>
            </w:r>
            <w:r w:rsidRPr="00226AD2">
              <w:rPr>
                <w:sz w:val="20"/>
                <w:szCs w:val="20"/>
              </w:rPr>
              <w:t>eveloping the ability to identify and manage our own emotions to support mental health, achieve goals, and inform decision-making</w:t>
            </w:r>
            <w:r w:rsidR="00443067">
              <w:rPr>
                <w:sz w:val="20"/>
                <w:szCs w:val="20"/>
              </w:rPr>
              <w:t>; s</w:t>
            </w:r>
            <w:r w:rsidRPr="00226AD2">
              <w:rPr>
                <w:sz w:val="20"/>
                <w:szCs w:val="20"/>
              </w:rPr>
              <w:t>eeking help for mental health when needed.</w:t>
            </w:r>
          </w:p>
          <w:p w14:paraId="5BAC83E4" w14:textId="77777777" w:rsidR="003839E0" w:rsidRPr="00226AD2" w:rsidRDefault="003839E0" w:rsidP="00045259">
            <w:pPr>
              <w:pStyle w:val="ListParagraph"/>
              <w:ind w:left="0"/>
              <w:rPr>
                <w:sz w:val="20"/>
                <w:szCs w:val="20"/>
              </w:rPr>
            </w:pPr>
          </w:p>
          <w:p w14:paraId="044CAA6F" w14:textId="77777777" w:rsidR="003839E0" w:rsidRPr="00226AD2" w:rsidRDefault="003839E0"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0C330752" w14:textId="77777777" w:rsidR="003839E0" w:rsidRPr="00226AD2" w:rsidRDefault="003839E0" w:rsidP="00045259">
            <w:pPr>
              <w:pStyle w:val="ListParagraph"/>
              <w:ind w:left="0"/>
              <w:rPr>
                <w:sz w:val="20"/>
                <w:szCs w:val="20"/>
              </w:rPr>
            </w:pPr>
          </w:p>
          <w:p w14:paraId="1CAC8199" w14:textId="77777777" w:rsidR="003839E0" w:rsidRPr="00226AD2" w:rsidRDefault="003839E0"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20F495E3" w14:textId="77777777" w:rsidR="003839E0" w:rsidRPr="00226AD2" w:rsidRDefault="003839E0" w:rsidP="00045259">
            <w:pPr>
              <w:pStyle w:val="ListParagraph"/>
              <w:ind w:left="0"/>
              <w:rPr>
                <w:sz w:val="20"/>
                <w:szCs w:val="20"/>
              </w:rPr>
            </w:pPr>
            <w:r w:rsidRPr="00226AD2">
              <w:rPr>
                <w:sz w:val="20"/>
                <w:szCs w:val="20"/>
              </w:rPr>
              <w:t xml:space="preserve"> </w:t>
            </w:r>
          </w:p>
          <w:p w14:paraId="6226EDFE" w14:textId="77777777" w:rsidR="003839E0" w:rsidRPr="00226AD2" w:rsidRDefault="003839E0"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A8522E3" w14:textId="77777777" w:rsidR="003839E0" w:rsidRPr="00226AD2" w:rsidRDefault="003839E0" w:rsidP="00045259">
            <w:pPr>
              <w:pStyle w:val="ListParagraph"/>
              <w:ind w:left="0"/>
              <w:rPr>
                <w:sz w:val="20"/>
                <w:szCs w:val="20"/>
              </w:rPr>
            </w:pPr>
          </w:p>
          <w:p w14:paraId="30980A60" w14:textId="77777777" w:rsidR="003839E0" w:rsidRPr="00226AD2" w:rsidRDefault="003839E0"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53D2C949" w14:textId="77777777" w:rsidR="003839E0" w:rsidRPr="00226AD2" w:rsidRDefault="003839E0" w:rsidP="00045259">
            <w:pPr>
              <w:pStyle w:val="ListParagraph"/>
              <w:ind w:left="0"/>
              <w:rPr>
                <w:sz w:val="20"/>
                <w:szCs w:val="20"/>
              </w:rPr>
            </w:pPr>
          </w:p>
          <w:p w14:paraId="5880C923" w14:textId="77777777" w:rsidR="003839E0" w:rsidRPr="00226AD2" w:rsidRDefault="003839E0"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5FB138D3" w14:textId="77777777" w:rsidR="003839E0" w:rsidRPr="00226AD2" w:rsidRDefault="003839E0" w:rsidP="00045259">
            <w:pPr>
              <w:pStyle w:val="ListParagraph"/>
              <w:ind w:left="0"/>
              <w:rPr>
                <w:sz w:val="20"/>
                <w:szCs w:val="20"/>
              </w:rPr>
            </w:pPr>
          </w:p>
          <w:p w14:paraId="2CDDF32F" w14:textId="77777777" w:rsidR="003839E0" w:rsidRPr="00226AD2" w:rsidRDefault="003839E0"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10"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59C72791" w14:textId="77777777" w:rsidR="003839E0" w:rsidRPr="00C26210" w:rsidRDefault="003839E0" w:rsidP="00045259">
            <w:pPr>
              <w:pStyle w:val="ListParagraph"/>
              <w:ind w:left="0"/>
              <w:rPr>
                <w:sz w:val="20"/>
                <w:szCs w:val="20"/>
              </w:rPr>
            </w:pPr>
          </w:p>
        </w:tc>
        <w:tc>
          <w:tcPr>
            <w:tcW w:w="2088" w:type="dxa"/>
            <w:vAlign w:val="center"/>
          </w:tcPr>
          <w:p w14:paraId="4845C92E" w14:textId="77777777" w:rsidR="003839E0" w:rsidRPr="00C26210" w:rsidRDefault="003839E0" w:rsidP="00045259">
            <w:pPr>
              <w:pStyle w:val="ListParagraph"/>
              <w:ind w:left="0"/>
              <w:jc w:val="center"/>
              <w:rPr>
                <w:sz w:val="20"/>
                <w:szCs w:val="20"/>
              </w:rPr>
            </w:pPr>
          </w:p>
        </w:tc>
      </w:tr>
      <w:tr w:rsidR="003839E0" w:rsidRPr="00C26210" w14:paraId="338A5144" w14:textId="77777777" w:rsidTr="00045259">
        <w:trPr>
          <w:cantSplit/>
          <w:jc w:val="center"/>
        </w:trPr>
        <w:tc>
          <w:tcPr>
            <w:tcW w:w="7290" w:type="dxa"/>
            <w:tcMar>
              <w:top w:w="43" w:type="dxa"/>
              <w:left w:w="115" w:type="dxa"/>
              <w:bottom w:w="43" w:type="dxa"/>
              <w:right w:w="115" w:type="dxa"/>
            </w:tcMar>
            <w:vAlign w:val="center"/>
          </w:tcPr>
          <w:p w14:paraId="1BF3BB6A" w14:textId="0A2437F5" w:rsidR="003839E0" w:rsidRDefault="003839E0" w:rsidP="00045259">
            <w:pPr>
              <w:pStyle w:val="ListParagraph"/>
              <w:ind w:left="0"/>
              <w:rPr>
                <w:sz w:val="20"/>
                <w:szCs w:val="20"/>
              </w:rPr>
            </w:pPr>
            <w:r>
              <w:rPr>
                <w:sz w:val="20"/>
                <w:szCs w:val="20"/>
              </w:rPr>
              <w:t xml:space="preserve">Engage </w:t>
            </w:r>
            <w:r w:rsidR="00562B11">
              <w:rPr>
                <w:sz w:val="20"/>
                <w:szCs w:val="20"/>
              </w:rPr>
              <w:t>Mentee</w:t>
            </w:r>
            <w:r>
              <w:rPr>
                <w:sz w:val="20"/>
                <w:szCs w:val="20"/>
              </w:rPr>
              <w:t xml:space="preserve"> in a reflective exercise regarding resilience. How does </w:t>
            </w:r>
            <w:r w:rsidR="00562B11">
              <w:rPr>
                <w:sz w:val="20"/>
                <w:szCs w:val="20"/>
              </w:rPr>
              <w:t>Mentee</w:t>
            </w:r>
            <w:r>
              <w:rPr>
                <w:sz w:val="20"/>
                <w:szCs w:val="20"/>
              </w:rPr>
              <w:t xml:space="preserve"> assess their own resiliency? What factors account for </w:t>
            </w:r>
            <w:r w:rsidR="00562B11">
              <w:rPr>
                <w:sz w:val="20"/>
                <w:szCs w:val="20"/>
              </w:rPr>
              <w:t>Mentee</w:t>
            </w:r>
            <w:r>
              <w:rPr>
                <w:sz w:val="20"/>
                <w:szCs w:val="20"/>
              </w:rPr>
              <w:t>’s measurement of resilience? Assist Mentee in developing a plan to improve their resiliency. Consider the following resources:</w:t>
            </w:r>
          </w:p>
          <w:p w14:paraId="70698355" w14:textId="77777777" w:rsidR="003839E0" w:rsidRDefault="00000000" w:rsidP="003839E0">
            <w:pPr>
              <w:pStyle w:val="ListParagraph"/>
              <w:numPr>
                <w:ilvl w:val="0"/>
                <w:numId w:val="5"/>
              </w:numPr>
              <w:rPr>
                <w:sz w:val="20"/>
                <w:szCs w:val="20"/>
              </w:rPr>
            </w:pPr>
            <w:hyperlink r:id="rId11" w:history="1">
              <w:r w:rsidR="003839E0" w:rsidRPr="00226AD2">
                <w:rPr>
                  <w:rStyle w:val="Hyperlink"/>
                  <w:sz w:val="20"/>
                  <w:szCs w:val="20"/>
                </w:rPr>
                <w:t>Three Ways Lawyers Can Become More Resilient</w:t>
              </w:r>
            </w:hyperlink>
          </w:p>
          <w:p w14:paraId="1AE04C11" w14:textId="77777777" w:rsidR="003839E0" w:rsidRPr="00C26210" w:rsidRDefault="00000000" w:rsidP="003839E0">
            <w:pPr>
              <w:pStyle w:val="ListParagraph"/>
              <w:numPr>
                <w:ilvl w:val="0"/>
                <w:numId w:val="5"/>
              </w:numPr>
              <w:rPr>
                <w:sz w:val="20"/>
                <w:szCs w:val="20"/>
              </w:rPr>
            </w:pPr>
            <w:hyperlink r:id="rId12" w:history="1">
              <w:r w:rsidR="003839E0" w:rsidRPr="00226AD2">
                <w:rPr>
                  <w:rStyle w:val="Hyperlink"/>
                  <w:sz w:val="20"/>
                  <w:szCs w:val="20"/>
                </w:rPr>
                <w:t>Survival Skill No. 1 for Lawyers: Emotional Resilience</w:t>
              </w:r>
            </w:hyperlink>
          </w:p>
        </w:tc>
        <w:tc>
          <w:tcPr>
            <w:tcW w:w="2088" w:type="dxa"/>
            <w:vAlign w:val="center"/>
          </w:tcPr>
          <w:p w14:paraId="29D2E924" w14:textId="77777777" w:rsidR="003839E0" w:rsidRDefault="003839E0" w:rsidP="00045259">
            <w:pPr>
              <w:pStyle w:val="ListParagraph"/>
              <w:ind w:left="0"/>
              <w:jc w:val="center"/>
              <w:rPr>
                <w:sz w:val="20"/>
                <w:szCs w:val="20"/>
              </w:rPr>
            </w:pPr>
          </w:p>
          <w:p w14:paraId="1B46D010" w14:textId="77777777" w:rsidR="003839E0" w:rsidRDefault="003839E0" w:rsidP="00045259">
            <w:pPr>
              <w:pStyle w:val="ListParagraph"/>
              <w:ind w:left="0"/>
              <w:jc w:val="center"/>
              <w:rPr>
                <w:sz w:val="20"/>
                <w:szCs w:val="20"/>
              </w:rPr>
            </w:pPr>
          </w:p>
          <w:p w14:paraId="06A8C251" w14:textId="77777777" w:rsidR="003839E0" w:rsidRDefault="003839E0" w:rsidP="00045259">
            <w:pPr>
              <w:pStyle w:val="ListParagraph"/>
              <w:ind w:left="0"/>
              <w:jc w:val="center"/>
              <w:rPr>
                <w:sz w:val="20"/>
                <w:szCs w:val="20"/>
              </w:rPr>
            </w:pPr>
          </w:p>
          <w:p w14:paraId="1333625D" w14:textId="77777777" w:rsidR="003839E0" w:rsidRDefault="003839E0" w:rsidP="00045259">
            <w:pPr>
              <w:pStyle w:val="ListParagraph"/>
              <w:ind w:left="0"/>
              <w:jc w:val="center"/>
              <w:rPr>
                <w:sz w:val="20"/>
                <w:szCs w:val="20"/>
              </w:rPr>
            </w:pPr>
          </w:p>
          <w:p w14:paraId="35514175" w14:textId="77777777" w:rsidR="003839E0" w:rsidRDefault="003839E0" w:rsidP="00045259">
            <w:pPr>
              <w:pStyle w:val="ListParagraph"/>
              <w:ind w:left="0"/>
              <w:jc w:val="center"/>
              <w:rPr>
                <w:sz w:val="20"/>
                <w:szCs w:val="20"/>
              </w:rPr>
            </w:pPr>
          </w:p>
          <w:p w14:paraId="0948FDC6" w14:textId="77777777" w:rsidR="003839E0" w:rsidRDefault="003839E0" w:rsidP="00045259">
            <w:pPr>
              <w:pStyle w:val="ListParagraph"/>
              <w:ind w:left="0"/>
              <w:jc w:val="center"/>
              <w:rPr>
                <w:sz w:val="20"/>
                <w:szCs w:val="20"/>
              </w:rPr>
            </w:pPr>
          </w:p>
          <w:p w14:paraId="503C475B" w14:textId="77777777" w:rsidR="003839E0" w:rsidRPr="00C26210" w:rsidRDefault="003839E0" w:rsidP="00045259">
            <w:pPr>
              <w:pStyle w:val="ListParagraph"/>
              <w:ind w:left="0"/>
              <w:jc w:val="center"/>
              <w:rPr>
                <w:sz w:val="20"/>
                <w:szCs w:val="20"/>
              </w:rPr>
            </w:pPr>
          </w:p>
        </w:tc>
      </w:tr>
    </w:tbl>
    <w:p w14:paraId="3BDDA9B1" w14:textId="77777777" w:rsidR="001B0DDA" w:rsidRDefault="001B0DDA" w:rsidP="003F66F4">
      <w:pPr>
        <w:rPr>
          <w:b/>
          <w:sz w:val="20"/>
          <w:szCs w:val="20"/>
        </w:rPr>
      </w:pPr>
    </w:p>
    <w:p w14:paraId="46B689F1" w14:textId="77777777" w:rsidR="00F4218D" w:rsidRDefault="00F4218D" w:rsidP="003F66F4">
      <w:pPr>
        <w:rPr>
          <w:b/>
          <w:sz w:val="20"/>
          <w:szCs w:val="20"/>
        </w:rPr>
      </w:pPr>
    </w:p>
    <w:p w14:paraId="42677E95" w14:textId="77777777" w:rsidR="00F4218D" w:rsidRDefault="00F4218D" w:rsidP="003F66F4">
      <w:pPr>
        <w:rPr>
          <w:b/>
          <w:sz w:val="20"/>
          <w:szCs w:val="20"/>
        </w:rPr>
      </w:pPr>
    </w:p>
    <w:p w14:paraId="3E2B748A" w14:textId="77777777" w:rsidR="00F4218D" w:rsidRPr="003F66F4" w:rsidRDefault="00F4218D" w:rsidP="003F66F4">
      <w:pPr>
        <w:rPr>
          <w:b/>
          <w:sz w:val="20"/>
          <w:szCs w:val="20"/>
        </w:rPr>
      </w:pPr>
    </w:p>
    <w:p w14:paraId="5C5C640F" w14:textId="77777777" w:rsidR="003839E0" w:rsidRPr="00C26210" w:rsidRDefault="003839E0" w:rsidP="003839E0">
      <w:pPr>
        <w:pStyle w:val="ListParagraph"/>
        <w:numPr>
          <w:ilvl w:val="0"/>
          <w:numId w:val="1"/>
        </w:numPr>
        <w:rPr>
          <w:b/>
          <w:sz w:val="20"/>
          <w:szCs w:val="20"/>
        </w:rPr>
      </w:pPr>
      <w:r w:rsidRPr="003F66F4">
        <w:rPr>
          <w:b/>
          <w:sz w:val="20"/>
          <w:szCs w:val="20"/>
          <w:highlight w:val="lightGray"/>
        </w:rPr>
        <w:lastRenderedPageBreak/>
        <w:t>Colorado Rules of Professional Conduct, Professionalism, and Civility</w:t>
      </w:r>
    </w:p>
    <w:p w14:paraId="5F7782CB" w14:textId="77777777" w:rsidR="003839E0" w:rsidRPr="00C26210" w:rsidRDefault="003839E0" w:rsidP="003839E0">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3839E0" w:rsidRPr="00C26210" w14:paraId="3F70183D" w14:textId="77777777" w:rsidTr="00045259">
        <w:trPr>
          <w:cantSplit/>
          <w:jc w:val="center"/>
        </w:trPr>
        <w:tc>
          <w:tcPr>
            <w:tcW w:w="7368" w:type="dxa"/>
            <w:vAlign w:val="center"/>
          </w:tcPr>
          <w:p w14:paraId="06E17C71" w14:textId="77777777" w:rsidR="003839E0" w:rsidRPr="00C26210" w:rsidRDefault="003839E0" w:rsidP="00045259">
            <w:pPr>
              <w:pStyle w:val="ListParagraph"/>
              <w:ind w:left="0"/>
              <w:jc w:val="center"/>
              <w:rPr>
                <w:sz w:val="20"/>
                <w:szCs w:val="20"/>
              </w:rPr>
            </w:pPr>
            <w:r w:rsidRPr="00C26210">
              <w:rPr>
                <w:sz w:val="20"/>
                <w:szCs w:val="20"/>
              </w:rPr>
              <w:t>Action</w:t>
            </w:r>
          </w:p>
        </w:tc>
        <w:tc>
          <w:tcPr>
            <w:tcW w:w="1837" w:type="dxa"/>
            <w:vAlign w:val="center"/>
          </w:tcPr>
          <w:p w14:paraId="136FB499"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2F08D768" w14:textId="77777777" w:rsidTr="00045259">
        <w:trPr>
          <w:cantSplit/>
          <w:jc w:val="center"/>
        </w:trPr>
        <w:tc>
          <w:tcPr>
            <w:tcW w:w="7368" w:type="dxa"/>
            <w:tcMar>
              <w:top w:w="43" w:type="dxa"/>
              <w:left w:w="115" w:type="dxa"/>
              <w:bottom w:w="43" w:type="dxa"/>
              <w:right w:w="115" w:type="dxa"/>
            </w:tcMar>
            <w:vAlign w:val="center"/>
          </w:tcPr>
          <w:p w14:paraId="4A5EC103" w14:textId="77777777" w:rsidR="003839E0" w:rsidRPr="00C26210" w:rsidRDefault="003839E0" w:rsidP="00045259">
            <w:pPr>
              <w:pStyle w:val="ListParagraph"/>
              <w:ind w:left="0"/>
              <w:jc w:val="center"/>
              <w:rPr>
                <w:b/>
                <w:sz w:val="20"/>
                <w:szCs w:val="20"/>
              </w:rPr>
            </w:pPr>
            <w:r w:rsidRPr="00C26210">
              <w:rPr>
                <w:b/>
                <w:sz w:val="20"/>
                <w:szCs w:val="20"/>
              </w:rPr>
              <w:t xml:space="preserve">Required </w:t>
            </w:r>
          </w:p>
          <w:p w14:paraId="301F7CAA" w14:textId="77777777" w:rsidR="003839E0" w:rsidRPr="00C26210" w:rsidRDefault="003839E0"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42FE40CD" w14:textId="77777777" w:rsidR="003839E0" w:rsidRPr="00C26210" w:rsidRDefault="003839E0" w:rsidP="00045259">
            <w:pPr>
              <w:pStyle w:val="ListParagraph"/>
              <w:ind w:left="0"/>
              <w:jc w:val="center"/>
              <w:rPr>
                <w:sz w:val="20"/>
                <w:szCs w:val="20"/>
              </w:rPr>
            </w:pPr>
          </w:p>
        </w:tc>
      </w:tr>
      <w:tr w:rsidR="003839E0" w:rsidRPr="00C26210" w14:paraId="1DDD24F4" w14:textId="77777777" w:rsidTr="00045259">
        <w:trPr>
          <w:cantSplit/>
          <w:jc w:val="center"/>
        </w:trPr>
        <w:tc>
          <w:tcPr>
            <w:tcW w:w="7368" w:type="dxa"/>
            <w:tcMar>
              <w:top w:w="43" w:type="dxa"/>
              <w:left w:w="115" w:type="dxa"/>
              <w:bottom w:w="43" w:type="dxa"/>
              <w:right w:w="115" w:type="dxa"/>
            </w:tcMar>
            <w:vAlign w:val="center"/>
          </w:tcPr>
          <w:p w14:paraId="013C8FF2" w14:textId="77777777" w:rsidR="003839E0" w:rsidRPr="00C26210" w:rsidRDefault="003839E0"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0B6ADE41" w14:textId="77777777" w:rsidR="003839E0" w:rsidRPr="00C26210" w:rsidRDefault="003839E0" w:rsidP="00045259">
            <w:pPr>
              <w:pStyle w:val="ListParagraph"/>
              <w:ind w:left="0"/>
              <w:jc w:val="center"/>
              <w:rPr>
                <w:sz w:val="20"/>
                <w:szCs w:val="20"/>
              </w:rPr>
            </w:pPr>
          </w:p>
        </w:tc>
      </w:tr>
      <w:tr w:rsidR="003839E0" w:rsidRPr="00C26210" w14:paraId="10FAB3EF" w14:textId="77777777" w:rsidTr="00045259">
        <w:trPr>
          <w:cantSplit/>
          <w:jc w:val="center"/>
        </w:trPr>
        <w:tc>
          <w:tcPr>
            <w:tcW w:w="7368" w:type="dxa"/>
            <w:tcMar>
              <w:top w:w="43" w:type="dxa"/>
              <w:left w:w="115" w:type="dxa"/>
              <w:bottom w:w="43" w:type="dxa"/>
              <w:right w:w="115" w:type="dxa"/>
            </w:tcMar>
          </w:tcPr>
          <w:p w14:paraId="47DF729A" w14:textId="0DE2CCF3" w:rsidR="003839E0" w:rsidRPr="00043712" w:rsidRDefault="003839E0" w:rsidP="00045259">
            <w:pPr>
              <w:rPr>
                <w:sz w:val="20"/>
                <w:szCs w:val="20"/>
              </w:rPr>
            </w:pPr>
            <w:r w:rsidRPr="00043712">
              <w:rPr>
                <w:sz w:val="20"/>
                <w:szCs w:val="20"/>
              </w:rPr>
              <w:t xml:space="preserve">Engage Mentee in a reflection on “bullying” and “toxicity” in the legal profession. Define what these terms mean to </w:t>
            </w:r>
            <w:r w:rsidR="00562B11">
              <w:rPr>
                <w:sz w:val="20"/>
                <w:szCs w:val="20"/>
              </w:rPr>
              <w:t>Mentee</w:t>
            </w:r>
            <w:r w:rsidRPr="00043712">
              <w:rPr>
                <w:sz w:val="20"/>
                <w:szCs w:val="20"/>
              </w:rPr>
              <w:t xml:space="preserve"> and reflect on whether </w:t>
            </w:r>
            <w:r w:rsidR="00562B11">
              <w:rPr>
                <w:sz w:val="20"/>
                <w:szCs w:val="20"/>
              </w:rPr>
              <w:t>Mentee</w:t>
            </w:r>
            <w:r w:rsidRPr="00043712">
              <w:rPr>
                <w:sz w:val="20"/>
                <w:szCs w:val="20"/>
              </w:rPr>
              <w:t xml:space="preserve"> has experienced these issues or has contributed to these issues at various points in their legal career. Develop with </w:t>
            </w:r>
            <w:r w:rsidR="00562B11">
              <w:rPr>
                <w:sz w:val="20"/>
                <w:szCs w:val="20"/>
              </w:rPr>
              <w:t>Mentee</w:t>
            </w:r>
            <w:r w:rsidRPr="00043712">
              <w:rPr>
                <w:sz w:val="20"/>
                <w:szCs w:val="20"/>
              </w:rPr>
              <w:t xml:space="preserve"> a personal plan for avoiding and responding to bullying or toxic behavior. Consider the following resource:</w:t>
            </w:r>
          </w:p>
          <w:p w14:paraId="623C6ADA" w14:textId="3A8AEDAB" w:rsidR="003839E0" w:rsidRPr="00C26210" w:rsidRDefault="00000000">
            <w:pPr>
              <w:numPr>
                <w:ilvl w:val="0"/>
                <w:numId w:val="8"/>
              </w:numPr>
              <w:rPr>
                <w:b/>
                <w:sz w:val="20"/>
                <w:szCs w:val="20"/>
              </w:rPr>
            </w:pPr>
            <w:hyperlink r:id="rId13" w:history="1">
              <w:r w:rsidR="003839E0" w:rsidRPr="003F66F4">
                <w:rPr>
                  <w:rStyle w:val="Hyperlink"/>
                  <w:sz w:val="20"/>
                  <w:szCs w:val="20"/>
                </w:rPr>
                <w:t>Dealing with Lawyer Bullies</w:t>
              </w:r>
            </w:hyperlink>
          </w:p>
        </w:tc>
        <w:tc>
          <w:tcPr>
            <w:tcW w:w="1837" w:type="dxa"/>
            <w:vAlign w:val="center"/>
          </w:tcPr>
          <w:p w14:paraId="42DC1ABE" w14:textId="77777777" w:rsidR="003839E0" w:rsidRPr="00C26210" w:rsidRDefault="003839E0" w:rsidP="00045259">
            <w:pPr>
              <w:pStyle w:val="ListParagraph"/>
              <w:ind w:left="0"/>
              <w:jc w:val="center"/>
              <w:rPr>
                <w:sz w:val="20"/>
                <w:szCs w:val="20"/>
              </w:rPr>
            </w:pPr>
          </w:p>
        </w:tc>
      </w:tr>
      <w:tr w:rsidR="003839E0" w:rsidRPr="00C26210" w14:paraId="49A7EE2A" w14:textId="77777777" w:rsidTr="00045259">
        <w:trPr>
          <w:cantSplit/>
          <w:jc w:val="center"/>
        </w:trPr>
        <w:tc>
          <w:tcPr>
            <w:tcW w:w="7368" w:type="dxa"/>
            <w:tcMar>
              <w:top w:w="43" w:type="dxa"/>
              <w:left w:w="115" w:type="dxa"/>
              <w:bottom w:w="43" w:type="dxa"/>
              <w:right w:w="115" w:type="dxa"/>
            </w:tcMar>
          </w:tcPr>
          <w:p w14:paraId="7CD5812E" w14:textId="77777777" w:rsidR="003839E0" w:rsidRPr="00C26210" w:rsidRDefault="003839E0"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25C9CC1B" w14:textId="77777777" w:rsidR="003839E0" w:rsidRPr="00C26210" w:rsidRDefault="003839E0" w:rsidP="00045259">
            <w:pPr>
              <w:pStyle w:val="ListParagraph"/>
              <w:ind w:left="0"/>
              <w:jc w:val="center"/>
              <w:rPr>
                <w:sz w:val="20"/>
                <w:szCs w:val="20"/>
              </w:rPr>
            </w:pPr>
          </w:p>
        </w:tc>
      </w:tr>
      <w:tr w:rsidR="003839E0" w:rsidRPr="00C26210" w14:paraId="520F7F1F" w14:textId="77777777" w:rsidTr="00045259">
        <w:trPr>
          <w:cantSplit/>
          <w:jc w:val="center"/>
        </w:trPr>
        <w:tc>
          <w:tcPr>
            <w:tcW w:w="7368" w:type="dxa"/>
            <w:tcMar>
              <w:top w:w="43" w:type="dxa"/>
              <w:left w:w="115" w:type="dxa"/>
              <w:bottom w:w="43" w:type="dxa"/>
              <w:right w:w="115" w:type="dxa"/>
            </w:tcMar>
          </w:tcPr>
          <w:p w14:paraId="4A68B09A" w14:textId="77777777" w:rsidR="003839E0" w:rsidRPr="00C26210" w:rsidRDefault="003839E0" w:rsidP="00045259">
            <w:pPr>
              <w:rPr>
                <w:sz w:val="20"/>
                <w:szCs w:val="20"/>
              </w:rPr>
            </w:pPr>
            <w:r w:rsidRPr="00C26210">
              <w:rPr>
                <w:sz w:val="20"/>
                <w:szCs w:val="20"/>
              </w:rPr>
              <w:t>Discuss how to screen for, recognize, and avoid conflicts of interest.</w:t>
            </w:r>
          </w:p>
        </w:tc>
        <w:tc>
          <w:tcPr>
            <w:tcW w:w="1837" w:type="dxa"/>
            <w:vAlign w:val="center"/>
          </w:tcPr>
          <w:p w14:paraId="2D4BDAA4" w14:textId="77777777" w:rsidR="003839E0" w:rsidRPr="00C26210" w:rsidRDefault="003839E0" w:rsidP="00045259">
            <w:pPr>
              <w:pStyle w:val="ListParagraph"/>
              <w:ind w:left="0"/>
              <w:jc w:val="center"/>
              <w:rPr>
                <w:sz w:val="20"/>
                <w:szCs w:val="20"/>
              </w:rPr>
            </w:pPr>
          </w:p>
        </w:tc>
      </w:tr>
      <w:tr w:rsidR="003839E0" w:rsidRPr="00C26210" w14:paraId="3F881297" w14:textId="77777777" w:rsidTr="00045259">
        <w:trPr>
          <w:cantSplit/>
          <w:jc w:val="center"/>
        </w:trPr>
        <w:tc>
          <w:tcPr>
            <w:tcW w:w="7368" w:type="dxa"/>
            <w:tcMar>
              <w:top w:w="43" w:type="dxa"/>
              <w:left w:w="115" w:type="dxa"/>
              <w:bottom w:w="43" w:type="dxa"/>
              <w:right w:w="115" w:type="dxa"/>
            </w:tcMar>
          </w:tcPr>
          <w:p w14:paraId="378CB549" w14:textId="77777777" w:rsidR="003839E0" w:rsidRPr="00043712" w:rsidRDefault="003839E0"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2C137003" w14:textId="77777777" w:rsidR="003839E0" w:rsidRPr="00043712" w:rsidRDefault="00000000" w:rsidP="003839E0">
            <w:pPr>
              <w:numPr>
                <w:ilvl w:val="0"/>
                <w:numId w:val="7"/>
              </w:numPr>
              <w:rPr>
                <w:sz w:val="20"/>
                <w:szCs w:val="20"/>
              </w:rPr>
            </w:pPr>
            <w:hyperlink r:id="rId14" w:history="1">
              <w:r w:rsidR="003839E0" w:rsidRPr="00043712">
                <w:rPr>
                  <w:rStyle w:val="Hyperlink"/>
                  <w:sz w:val="20"/>
                  <w:szCs w:val="20"/>
                </w:rPr>
                <w:t>Fire &amp; Ice: An Associate’s View of Partners</w:t>
              </w:r>
            </w:hyperlink>
          </w:p>
          <w:p w14:paraId="00BCE94D" w14:textId="77777777" w:rsidR="003839E0" w:rsidRPr="00043712" w:rsidRDefault="00000000" w:rsidP="003839E0">
            <w:pPr>
              <w:numPr>
                <w:ilvl w:val="0"/>
                <w:numId w:val="7"/>
              </w:numPr>
              <w:rPr>
                <w:sz w:val="20"/>
                <w:szCs w:val="20"/>
              </w:rPr>
            </w:pPr>
            <w:hyperlink r:id="rId15" w:history="1">
              <w:r w:rsidR="003839E0" w:rsidRPr="00043712">
                <w:rPr>
                  <w:rStyle w:val="Hyperlink"/>
                  <w:sz w:val="20"/>
                  <w:szCs w:val="20"/>
                </w:rPr>
                <w:t>I Don’t Feel Your Pain: A Partner’s View of Associates</w:t>
              </w:r>
            </w:hyperlink>
          </w:p>
          <w:p w14:paraId="6A4EEA04" w14:textId="140B4960" w:rsidR="003839E0" w:rsidRPr="00043712" w:rsidRDefault="00000000" w:rsidP="003839E0">
            <w:pPr>
              <w:numPr>
                <w:ilvl w:val="0"/>
                <w:numId w:val="7"/>
              </w:numPr>
              <w:rPr>
                <w:sz w:val="20"/>
                <w:szCs w:val="20"/>
                <w:u w:val="single"/>
              </w:rPr>
            </w:pPr>
            <w:hyperlink r:id="rId16" w:history="1">
              <w:r w:rsidR="003839E0" w:rsidRPr="003F66F4">
                <w:rPr>
                  <w:rStyle w:val="Hyperlink"/>
                  <w:sz w:val="20"/>
                  <w:szCs w:val="20"/>
                </w:rPr>
                <w:t>Six Ways to Work Successfully With Support Staff</w:t>
              </w:r>
            </w:hyperlink>
          </w:p>
        </w:tc>
        <w:tc>
          <w:tcPr>
            <w:tcW w:w="1837" w:type="dxa"/>
            <w:vAlign w:val="center"/>
          </w:tcPr>
          <w:p w14:paraId="70747A63" w14:textId="77777777" w:rsidR="003839E0" w:rsidRPr="00C26210" w:rsidRDefault="003839E0" w:rsidP="00045259">
            <w:pPr>
              <w:pStyle w:val="ListParagraph"/>
              <w:ind w:left="0"/>
              <w:jc w:val="center"/>
              <w:rPr>
                <w:sz w:val="20"/>
                <w:szCs w:val="20"/>
              </w:rPr>
            </w:pPr>
          </w:p>
        </w:tc>
      </w:tr>
      <w:tr w:rsidR="003839E0" w:rsidRPr="00C26210" w14:paraId="4B14CBEF" w14:textId="77777777" w:rsidTr="00045259">
        <w:trPr>
          <w:cantSplit/>
          <w:jc w:val="center"/>
        </w:trPr>
        <w:tc>
          <w:tcPr>
            <w:tcW w:w="7368" w:type="dxa"/>
            <w:tcMar>
              <w:top w:w="43" w:type="dxa"/>
              <w:left w:w="115" w:type="dxa"/>
              <w:bottom w:w="43" w:type="dxa"/>
              <w:right w:w="115" w:type="dxa"/>
            </w:tcMar>
          </w:tcPr>
          <w:p w14:paraId="623DF09D" w14:textId="77777777" w:rsidR="003839E0" w:rsidRPr="00C26210" w:rsidRDefault="003839E0" w:rsidP="00045259">
            <w:pPr>
              <w:rPr>
                <w:sz w:val="20"/>
                <w:szCs w:val="20"/>
              </w:rPr>
            </w:pPr>
            <w:r>
              <w:rPr>
                <w:sz w:val="20"/>
                <w:szCs w:val="20"/>
              </w:rPr>
              <w:t>Discuss competency and professionalism</w:t>
            </w:r>
            <w:r w:rsidRPr="00C26210">
              <w:rPr>
                <w:sz w:val="20"/>
                <w:szCs w:val="20"/>
              </w:rPr>
              <w:t xml:space="preserve"> during discovery.</w:t>
            </w:r>
          </w:p>
        </w:tc>
        <w:tc>
          <w:tcPr>
            <w:tcW w:w="1837" w:type="dxa"/>
            <w:vAlign w:val="center"/>
          </w:tcPr>
          <w:p w14:paraId="7D4494FE" w14:textId="77777777" w:rsidR="003839E0" w:rsidRPr="00C26210" w:rsidRDefault="003839E0" w:rsidP="00045259">
            <w:pPr>
              <w:pStyle w:val="ListParagraph"/>
              <w:ind w:left="0"/>
              <w:jc w:val="center"/>
              <w:rPr>
                <w:sz w:val="20"/>
                <w:szCs w:val="20"/>
              </w:rPr>
            </w:pPr>
          </w:p>
        </w:tc>
      </w:tr>
      <w:tr w:rsidR="003839E0" w:rsidRPr="00C26210" w14:paraId="626D64C2" w14:textId="77777777" w:rsidTr="00045259">
        <w:trPr>
          <w:cantSplit/>
          <w:jc w:val="center"/>
        </w:trPr>
        <w:tc>
          <w:tcPr>
            <w:tcW w:w="7368" w:type="dxa"/>
            <w:tcMar>
              <w:top w:w="43" w:type="dxa"/>
              <w:left w:w="115" w:type="dxa"/>
              <w:bottom w:w="43" w:type="dxa"/>
              <w:right w:w="115" w:type="dxa"/>
            </w:tcMar>
          </w:tcPr>
          <w:p w14:paraId="77E06CCF" w14:textId="6F6ADC50" w:rsidR="003839E0" w:rsidRPr="00C26210" w:rsidRDefault="003839E0" w:rsidP="00045259">
            <w:pPr>
              <w:rPr>
                <w:sz w:val="20"/>
                <w:szCs w:val="20"/>
              </w:rPr>
            </w:pPr>
            <w:r w:rsidRPr="00C26210">
              <w:rPr>
                <w:sz w:val="20"/>
                <w:szCs w:val="20"/>
              </w:rPr>
              <w:t>Discuss how to prepare for negotiation of a legal matter</w:t>
            </w:r>
            <w:r w:rsidR="00381A3D">
              <w:rPr>
                <w:sz w:val="20"/>
                <w:szCs w:val="20"/>
              </w:rPr>
              <w:t>;</w:t>
            </w:r>
            <w:r w:rsidRPr="00C26210">
              <w:rPr>
                <w:sz w:val="20"/>
                <w:szCs w:val="20"/>
              </w:rPr>
              <w:t xml:space="preserve"> when and how negotiation is initiated</w:t>
            </w:r>
            <w:r w:rsidR="00381A3D">
              <w:rPr>
                <w:sz w:val="20"/>
                <w:szCs w:val="20"/>
              </w:rPr>
              <w:t>;</w:t>
            </w:r>
            <w:r w:rsidRPr="00C26210">
              <w:rPr>
                <w:sz w:val="20"/>
                <w:szCs w:val="20"/>
              </w:rPr>
              <w:t xml:space="preserve"> how to involve the client</w:t>
            </w:r>
            <w:r w:rsidR="00381A3D">
              <w:rPr>
                <w:sz w:val="20"/>
                <w:szCs w:val="20"/>
              </w:rPr>
              <w:t>;</w:t>
            </w:r>
            <w:r w:rsidRPr="00C26210">
              <w:rPr>
                <w:sz w:val="20"/>
                <w:szCs w:val="20"/>
              </w:rPr>
              <w:t xml:space="preserve"> ethical and professionalism obligations of negotiators</w:t>
            </w:r>
            <w:r w:rsidR="00381A3D">
              <w:rPr>
                <w:sz w:val="20"/>
                <w:szCs w:val="20"/>
              </w:rPr>
              <w:t>; and</w:t>
            </w:r>
            <w:r w:rsidRPr="00C26210">
              <w:rPr>
                <w:sz w:val="20"/>
                <w:szCs w:val="20"/>
              </w:rPr>
              <w:t xml:space="preserve"> skills needed to be an effective negotiator and how to acquire them.</w:t>
            </w:r>
          </w:p>
        </w:tc>
        <w:tc>
          <w:tcPr>
            <w:tcW w:w="1837" w:type="dxa"/>
            <w:vAlign w:val="center"/>
          </w:tcPr>
          <w:p w14:paraId="77BB2AFF" w14:textId="77777777" w:rsidR="003839E0" w:rsidRPr="00C26210" w:rsidRDefault="003839E0" w:rsidP="00045259">
            <w:pPr>
              <w:pStyle w:val="ListParagraph"/>
              <w:ind w:left="0"/>
              <w:jc w:val="center"/>
              <w:rPr>
                <w:sz w:val="20"/>
                <w:szCs w:val="20"/>
              </w:rPr>
            </w:pPr>
          </w:p>
        </w:tc>
      </w:tr>
      <w:tr w:rsidR="003839E0" w:rsidRPr="00C26210" w14:paraId="70500359" w14:textId="77777777" w:rsidTr="00045259">
        <w:trPr>
          <w:cantSplit/>
          <w:jc w:val="center"/>
        </w:trPr>
        <w:tc>
          <w:tcPr>
            <w:tcW w:w="7368" w:type="dxa"/>
            <w:tcMar>
              <w:top w:w="43" w:type="dxa"/>
              <w:left w:w="115" w:type="dxa"/>
              <w:bottom w:w="43" w:type="dxa"/>
              <w:right w:w="115" w:type="dxa"/>
            </w:tcMar>
          </w:tcPr>
          <w:p w14:paraId="19BF4484" w14:textId="2973A540" w:rsidR="003839E0" w:rsidRPr="00C26210" w:rsidRDefault="003839E0"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562B11">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59B42DDB" w14:textId="77777777" w:rsidR="003839E0" w:rsidRPr="00C26210" w:rsidRDefault="003839E0" w:rsidP="00045259">
            <w:pPr>
              <w:pStyle w:val="ListParagraph"/>
              <w:ind w:left="0"/>
              <w:jc w:val="center"/>
              <w:rPr>
                <w:sz w:val="20"/>
                <w:szCs w:val="20"/>
              </w:rPr>
            </w:pPr>
          </w:p>
        </w:tc>
      </w:tr>
      <w:tr w:rsidR="003839E0" w:rsidRPr="00C26210" w14:paraId="45129EC1" w14:textId="77777777" w:rsidTr="00045259">
        <w:trPr>
          <w:cantSplit/>
          <w:jc w:val="center"/>
        </w:trPr>
        <w:tc>
          <w:tcPr>
            <w:tcW w:w="7368" w:type="dxa"/>
            <w:tcMar>
              <w:top w:w="43" w:type="dxa"/>
              <w:left w:w="115" w:type="dxa"/>
              <w:bottom w:w="43" w:type="dxa"/>
              <w:right w:w="115" w:type="dxa"/>
            </w:tcMar>
          </w:tcPr>
          <w:p w14:paraId="489D5089" w14:textId="77777777" w:rsidR="003839E0" w:rsidRPr="00C26210" w:rsidRDefault="003839E0"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5627847D" w14:textId="77777777" w:rsidR="003839E0" w:rsidRPr="00C26210" w:rsidRDefault="003839E0" w:rsidP="00045259">
            <w:pPr>
              <w:pStyle w:val="ListParagraph"/>
              <w:ind w:left="0"/>
              <w:jc w:val="center"/>
              <w:rPr>
                <w:sz w:val="20"/>
                <w:szCs w:val="20"/>
              </w:rPr>
            </w:pPr>
          </w:p>
        </w:tc>
      </w:tr>
      <w:tr w:rsidR="003839E0" w:rsidRPr="00C26210" w14:paraId="7D11D40A" w14:textId="77777777" w:rsidTr="00045259">
        <w:trPr>
          <w:cantSplit/>
          <w:jc w:val="center"/>
        </w:trPr>
        <w:tc>
          <w:tcPr>
            <w:tcW w:w="7368" w:type="dxa"/>
            <w:tcMar>
              <w:top w:w="43" w:type="dxa"/>
              <w:left w:w="115" w:type="dxa"/>
              <w:bottom w:w="43" w:type="dxa"/>
              <w:right w:w="115" w:type="dxa"/>
            </w:tcMar>
            <w:vAlign w:val="center"/>
          </w:tcPr>
          <w:p w14:paraId="766128CD" w14:textId="77777777" w:rsidR="003839E0" w:rsidRPr="00C26210" w:rsidRDefault="003839E0"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086746BF" w14:textId="77777777" w:rsidR="003839E0" w:rsidRPr="00C26210" w:rsidRDefault="003839E0" w:rsidP="00045259">
            <w:pPr>
              <w:pStyle w:val="ListParagraph"/>
              <w:ind w:left="0"/>
              <w:jc w:val="center"/>
              <w:rPr>
                <w:sz w:val="20"/>
                <w:szCs w:val="20"/>
              </w:rPr>
            </w:pPr>
          </w:p>
        </w:tc>
      </w:tr>
    </w:tbl>
    <w:p w14:paraId="30008EDA" w14:textId="77777777" w:rsidR="001323FB" w:rsidRPr="00C26210" w:rsidRDefault="001323FB" w:rsidP="001323FB">
      <w:pPr>
        <w:pStyle w:val="ListParagraph"/>
        <w:rPr>
          <w:sz w:val="20"/>
          <w:szCs w:val="20"/>
        </w:rPr>
      </w:pPr>
    </w:p>
    <w:p w14:paraId="2075078E" w14:textId="77777777" w:rsidR="001323FB" w:rsidRPr="00C26210" w:rsidRDefault="003D5B04" w:rsidP="00CC08FE">
      <w:pPr>
        <w:pStyle w:val="ListParagraph"/>
        <w:numPr>
          <w:ilvl w:val="0"/>
          <w:numId w:val="1"/>
        </w:numPr>
        <w:shd w:val="clear" w:color="auto" w:fill="A6A6A6" w:themeFill="background1" w:themeFillShade="A6"/>
        <w:ind w:left="360"/>
        <w:rPr>
          <w:b/>
          <w:sz w:val="20"/>
          <w:szCs w:val="20"/>
        </w:rPr>
      </w:pPr>
      <w:r>
        <w:rPr>
          <w:b/>
          <w:sz w:val="20"/>
          <w:szCs w:val="20"/>
        </w:rPr>
        <w:t xml:space="preserve">When </w:t>
      </w:r>
      <w:r w:rsidR="00A47AE2">
        <w:rPr>
          <w:b/>
          <w:sz w:val="20"/>
          <w:szCs w:val="20"/>
        </w:rPr>
        <w:t xml:space="preserve">Your Client is the </w:t>
      </w:r>
      <w:r w:rsidR="00FA7A59">
        <w:rPr>
          <w:b/>
          <w:sz w:val="20"/>
          <w:szCs w:val="20"/>
        </w:rPr>
        <w:t xml:space="preserve">City, </w:t>
      </w:r>
      <w:r w:rsidR="00A47AE2">
        <w:rPr>
          <w:b/>
          <w:sz w:val="20"/>
          <w:szCs w:val="20"/>
        </w:rPr>
        <w:t>State</w:t>
      </w:r>
      <w:r w:rsidR="00FA7A59">
        <w:rPr>
          <w:b/>
          <w:sz w:val="20"/>
          <w:szCs w:val="20"/>
        </w:rPr>
        <w:t>,</w:t>
      </w:r>
      <w:r w:rsidR="00A47AE2">
        <w:rPr>
          <w:b/>
          <w:sz w:val="20"/>
          <w:szCs w:val="20"/>
        </w:rPr>
        <w:t xml:space="preserve"> or Federal Government</w:t>
      </w:r>
      <w:r w:rsidR="001323FB" w:rsidRPr="00C26210">
        <w:rPr>
          <w:b/>
          <w:sz w:val="20"/>
          <w:szCs w:val="20"/>
        </w:rPr>
        <w:t xml:space="preserve"> (complete at least </w:t>
      </w:r>
      <w:r w:rsidR="00487914">
        <w:rPr>
          <w:b/>
          <w:sz w:val="20"/>
          <w:szCs w:val="20"/>
        </w:rPr>
        <w:t>two</w:t>
      </w:r>
      <w:r w:rsidR="001323FB" w:rsidRPr="00C26210">
        <w:rPr>
          <w:b/>
          <w:sz w:val="20"/>
          <w:szCs w:val="20"/>
        </w:rPr>
        <w:t>)</w:t>
      </w:r>
    </w:p>
    <w:p w14:paraId="44AF9B91"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1323FB" w:rsidRPr="00C26210" w14:paraId="4015441B" w14:textId="77777777" w:rsidTr="00FA7A59">
        <w:trPr>
          <w:jc w:val="center"/>
        </w:trPr>
        <w:tc>
          <w:tcPr>
            <w:tcW w:w="7351" w:type="dxa"/>
            <w:vAlign w:val="center"/>
          </w:tcPr>
          <w:p w14:paraId="1FEFE05F"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1" w:type="dxa"/>
            <w:vAlign w:val="center"/>
          </w:tcPr>
          <w:p w14:paraId="507F560E"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70C9E7B3" w14:textId="77777777" w:rsidTr="00FA7A59">
        <w:trPr>
          <w:jc w:val="center"/>
        </w:trPr>
        <w:tc>
          <w:tcPr>
            <w:tcW w:w="7351" w:type="dxa"/>
            <w:tcMar>
              <w:top w:w="43" w:type="dxa"/>
              <w:left w:w="115" w:type="dxa"/>
              <w:bottom w:w="43" w:type="dxa"/>
              <w:right w:w="115" w:type="dxa"/>
            </w:tcMar>
            <w:vAlign w:val="center"/>
          </w:tcPr>
          <w:p w14:paraId="0AE2A4AA" w14:textId="77777777" w:rsidR="001323FB" w:rsidRPr="00487914" w:rsidRDefault="00487914" w:rsidP="00CC08FE">
            <w:pPr>
              <w:jc w:val="both"/>
              <w:rPr>
                <w:b/>
                <w:sz w:val="20"/>
                <w:szCs w:val="20"/>
              </w:rPr>
            </w:pPr>
            <w:r w:rsidRPr="00487914">
              <w:rPr>
                <w:b/>
                <w:sz w:val="20"/>
                <w:szCs w:val="20"/>
              </w:rPr>
              <w:t>WHO IS YOUR CLIENT?</w:t>
            </w:r>
          </w:p>
          <w:p w14:paraId="33D3D3F7" w14:textId="77777777" w:rsidR="00487914" w:rsidRDefault="00487914" w:rsidP="00CC08FE">
            <w:pPr>
              <w:jc w:val="both"/>
              <w:rPr>
                <w:color w:val="000000"/>
                <w:sz w:val="20"/>
                <w:szCs w:val="20"/>
                <w:shd w:val="clear" w:color="auto" w:fill="FFFFFF"/>
              </w:rPr>
            </w:pPr>
            <w:r w:rsidRPr="00487914">
              <w:rPr>
                <w:color w:val="000000"/>
                <w:sz w:val="20"/>
                <w:szCs w:val="20"/>
                <w:shd w:val="clear" w:color="auto" w:fill="FFFFFF"/>
              </w:rPr>
              <w:t>How</w:t>
            </w:r>
            <w:r>
              <w:rPr>
                <w:color w:val="000000"/>
                <w:sz w:val="20"/>
                <w:szCs w:val="20"/>
                <w:shd w:val="clear" w:color="auto" w:fill="FFFFFF"/>
              </w:rPr>
              <w:t xml:space="preserve"> </w:t>
            </w:r>
            <w:r w:rsidRPr="00487914">
              <w:rPr>
                <w:color w:val="000000"/>
                <w:sz w:val="20"/>
                <w:szCs w:val="20"/>
                <w:shd w:val="clear" w:color="auto" w:fill="FFFFFF"/>
              </w:rPr>
              <w:t xml:space="preserve">is the government attorney to know the identity of their client? The </w:t>
            </w:r>
            <w:r w:rsidR="00FA7A59">
              <w:rPr>
                <w:color w:val="000000"/>
                <w:sz w:val="20"/>
                <w:szCs w:val="20"/>
                <w:shd w:val="clear" w:color="auto" w:fill="FFFFFF"/>
              </w:rPr>
              <w:t>Colorado Rules of Professional Conduct</w:t>
            </w:r>
            <w:r w:rsidRPr="00487914">
              <w:rPr>
                <w:color w:val="000000"/>
                <w:sz w:val="20"/>
                <w:szCs w:val="20"/>
                <w:shd w:val="clear" w:color="auto" w:fill="FFFFFF"/>
              </w:rPr>
              <w:t xml:space="preserve"> were written based on the attorney-client paradigm of One Lawyer: One Client. While this may work well in the representation of a criminal defendant or a litigant in a domestic issue, it does not apply well to representation by a government lawyer.</w:t>
            </w:r>
          </w:p>
          <w:p w14:paraId="60778C23" w14:textId="77777777" w:rsidR="00FA7A59" w:rsidRPr="00487914" w:rsidRDefault="00FA7A59" w:rsidP="00CC08FE">
            <w:pPr>
              <w:jc w:val="both"/>
              <w:rPr>
                <w:color w:val="000000"/>
                <w:sz w:val="20"/>
                <w:szCs w:val="20"/>
                <w:shd w:val="clear" w:color="auto" w:fill="FFFFFF"/>
              </w:rPr>
            </w:pPr>
          </w:p>
          <w:p w14:paraId="6547F9A6" w14:textId="77777777" w:rsidR="00487914" w:rsidRPr="00487914" w:rsidRDefault="00487914" w:rsidP="00CC08FE">
            <w:pPr>
              <w:shd w:val="clear" w:color="auto" w:fill="FFFFFF"/>
              <w:jc w:val="both"/>
              <w:rPr>
                <w:rFonts w:eastAsia="Times New Roman"/>
                <w:color w:val="000000"/>
                <w:sz w:val="20"/>
                <w:szCs w:val="20"/>
              </w:rPr>
            </w:pPr>
            <w:r w:rsidRPr="00487914">
              <w:rPr>
                <w:rFonts w:eastAsia="Times New Roman"/>
                <w:color w:val="000000"/>
                <w:sz w:val="20"/>
                <w:szCs w:val="20"/>
              </w:rPr>
              <w:t>A variety of courts and authors have considered the issue deciding who the client of the government attorney might be. The general consensus is that there are five possible answers to the question:</w:t>
            </w:r>
          </w:p>
          <w:p w14:paraId="15413477" w14:textId="77777777" w:rsidR="00487914" w:rsidRPr="00487914" w:rsidRDefault="00487914" w:rsidP="00CC08FE">
            <w:pPr>
              <w:numPr>
                <w:ilvl w:val="0"/>
                <w:numId w:val="4"/>
              </w:numPr>
              <w:shd w:val="clear" w:color="auto" w:fill="FFFFFF"/>
              <w:ind w:left="600" w:right="600"/>
              <w:jc w:val="both"/>
              <w:rPr>
                <w:rFonts w:eastAsia="Times New Roman"/>
                <w:color w:val="000000"/>
                <w:sz w:val="20"/>
                <w:szCs w:val="20"/>
              </w:rPr>
            </w:pPr>
            <w:r w:rsidRPr="00487914">
              <w:rPr>
                <w:rFonts w:eastAsia="Times New Roman"/>
                <w:color w:val="000000"/>
                <w:sz w:val="20"/>
                <w:szCs w:val="20"/>
              </w:rPr>
              <w:t>Public</w:t>
            </w:r>
          </w:p>
          <w:p w14:paraId="018686EF"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Government as a whole</w:t>
            </w:r>
          </w:p>
          <w:p w14:paraId="20F3402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Branch of government in which employed</w:t>
            </w:r>
          </w:p>
          <w:p w14:paraId="2EF14DB9"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Particular agency or department</w:t>
            </w:r>
          </w:p>
          <w:p w14:paraId="7A3F759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Responsible officers who make decisions with an agency or department</w:t>
            </w:r>
          </w:p>
          <w:p w14:paraId="6F8F90C3" w14:textId="77777777" w:rsidR="00CC08FE" w:rsidRDefault="00CC08FE" w:rsidP="00CC08FE">
            <w:pPr>
              <w:jc w:val="both"/>
              <w:rPr>
                <w:color w:val="000000"/>
                <w:sz w:val="20"/>
                <w:szCs w:val="20"/>
                <w:shd w:val="clear" w:color="auto" w:fill="FFFFFF"/>
              </w:rPr>
            </w:pPr>
          </w:p>
          <w:p w14:paraId="71B17C27" w14:textId="7E04FD23" w:rsidR="00487914" w:rsidRPr="00487914" w:rsidRDefault="00487914" w:rsidP="00CC08FE">
            <w:pPr>
              <w:jc w:val="both"/>
              <w:rPr>
                <w:color w:val="000000"/>
                <w:sz w:val="20"/>
                <w:szCs w:val="20"/>
                <w:shd w:val="clear" w:color="auto" w:fill="FFFFFF"/>
              </w:rPr>
            </w:pPr>
            <w:r w:rsidRPr="00487914">
              <w:rPr>
                <w:color w:val="000000"/>
                <w:sz w:val="20"/>
                <w:szCs w:val="20"/>
                <w:shd w:val="clear" w:color="auto" w:fill="FFFFFF"/>
              </w:rPr>
              <w:t>The ethical and client identification issues for th</w:t>
            </w:r>
            <w:r w:rsidR="00FA7A59">
              <w:rPr>
                <w:color w:val="000000"/>
                <w:sz w:val="20"/>
                <w:szCs w:val="20"/>
                <w:shd w:val="clear" w:color="auto" w:fill="FFFFFF"/>
              </w:rPr>
              <w:t xml:space="preserve">e government attorney are many. </w:t>
            </w:r>
            <w:r w:rsidRPr="00487914">
              <w:rPr>
                <w:color w:val="000000"/>
                <w:sz w:val="20"/>
                <w:szCs w:val="20"/>
                <w:shd w:val="clear" w:color="auto" w:fill="FFFFFF"/>
              </w:rPr>
              <w:t>Determ</w:t>
            </w:r>
            <w:r w:rsidR="00FA7A59">
              <w:rPr>
                <w:color w:val="000000"/>
                <w:sz w:val="20"/>
                <w:szCs w:val="20"/>
                <w:shd w:val="clear" w:color="auto" w:fill="FFFFFF"/>
              </w:rPr>
              <w:t>ining the extent of a lawyer’s</w:t>
            </w:r>
            <w:r w:rsidRPr="00487914">
              <w:rPr>
                <w:color w:val="000000"/>
                <w:sz w:val="20"/>
                <w:szCs w:val="20"/>
                <w:shd w:val="clear" w:color="auto" w:fill="FFFFFF"/>
              </w:rPr>
              <w:t xml:space="preserve"> authority or whether a lawyer-client relationship exists may require an external inquiry depending on the circumstances</w:t>
            </w:r>
            <w:r w:rsidR="00FA7A59">
              <w:rPr>
                <w:color w:val="000000"/>
                <w:sz w:val="20"/>
                <w:szCs w:val="20"/>
                <w:shd w:val="clear" w:color="auto" w:fill="FFFFFF"/>
              </w:rPr>
              <w:t xml:space="preserve"> and context of representation.</w:t>
            </w:r>
            <w:r w:rsidRPr="00487914">
              <w:rPr>
                <w:color w:val="000000"/>
                <w:sz w:val="20"/>
                <w:szCs w:val="20"/>
                <w:shd w:val="clear" w:color="auto" w:fill="FFFFFF"/>
              </w:rPr>
              <w:t xml:space="preserve"> Non-government lawyers are concerned with protecting the interests of their clients, even when those clients may be engaged in wrongdoing. Government attorneys, on the other hand, have a higher, competing duty to act in the public interest</w:t>
            </w:r>
            <w:r w:rsidR="00381A3D">
              <w:rPr>
                <w:color w:val="000000"/>
                <w:sz w:val="20"/>
                <w:szCs w:val="20"/>
                <w:shd w:val="clear" w:color="auto" w:fill="FFFFFF"/>
              </w:rPr>
              <w:t>.</w:t>
            </w:r>
          </w:p>
          <w:p w14:paraId="40F4D2FD" w14:textId="77777777" w:rsidR="00487914" w:rsidRPr="00C26210" w:rsidRDefault="00487914" w:rsidP="00CC08FE">
            <w:pPr>
              <w:jc w:val="both"/>
              <w:rPr>
                <w:sz w:val="20"/>
                <w:szCs w:val="20"/>
              </w:rPr>
            </w:pPr>
            <w:r w:rsidRPr="00487914">
              <w:rPr>
                <w:color w:val="000000"/>
                <w:sz w:val="20"/>
                <w:szCs w:val="20"/>
                <w:shd w:val="clear" w:color="auto" w:fill="FFFFFF"/>
              </w:rPr>
              <w:t xml:space="preserve">In all situations, determination will depend on the context of the representation. </w:t>
            </w:r>
            <w:r w:rsidR="00FA7A59">
              <w:rPr>
                <w:color w:val="000000"/>
                <w:sz w:val="20"/>
                <w:szCs w:val="20"/>
                <w:shd w:val="clear" w:color="auto" w:fill="FFFFFF"/>
              </w:rPr>
              <w:t>Discuss how t</w:t>
            </w:r>
            <w:r w:rsidRPr="00487914">
              <w:rPr>
                <w:color w:val="000000"/>
                <w:sz w:val="20"/>
                <w:szCs w:val="20"/>
                <w:shd w:val="clear" w:color="auto" w:fill="FFFFFF"/>
              </w:rPr>
              <w:t>he government lawyer can put the representation and c</w:t>
            </w:r>
            <w:r w:rsidR="00FA7A59">
              <w:rPr>
                <w:color w:val="000000"/>
                <w:sz w:val="20"/>
                <w:szCs w:val="20"/>
                <w:shd w:val="clear" w:color="auto" w:fill="FFFFFF"/>
              </w:rPr>
              <w:t>lient identification in context.</w:t>
            </w:r>
          </w:p>
        </w:tc>
        <w:tc>
          <w:tcPr>
            <w:tcW w:w="1801" w:type="dxa"/>
            <w:vAlign w:val="center"/>
          </w:tcPr>
          <w:p w14:paraId="0B4F0044" w14:textId="77777777" w:rsidR="001323FB" w:rsidRPr="00C26210" w:rsidRDefault="001323FB" w:rsidP="00195EF4">
            <w:pPr>
              <w:pStyle w:val="ListParagraph"/>
              <w:ind w:left="0"/>
              <w:jc w:val="center"/>
              <w:rPr>
                <w:sz w:val="20"/>
                <w:szCs w:val="20"/>
              </w:rPr>
            </w:pPr>
          </w:p>
        </w:tc>
      </w:tr>
      <w:tr w:rsidR="001323FB" w:rsidRPr="00C26210" w14:paraId="02840E7D" w14:textId="77777777" w:rsidTr="00FA7A59">
        <w:trPr>
          <w:jc w:val="center"/>
        </w:trPr>
        <w:tc>
          <w:tcPr>
            <w:tcW w:w="7351" w:type="dxa"/>
            <w:tcMar>
              <w:top w:w="43" w:type="dxa"/>
              <w:left w:w="115" w:type="dxa"/>
              <w:bottom w:w="43" w:type="dxa"/>
              <w:right w:w="115" w:type="dxa"/>
            </w:tcMar>
            <w:vAlign w:val="center"/>
          </w:tcPr>
          <w:p w14:paraId="0CCAA44F" w14:textId="77777777" w:rsidR="001323FB" w:rsidRPr="00613F01" w:rsidRDefault="00FA7A59" w:rsidP="00CC08FE">
            <w:pPr>
              <w:jc w:val="both"/>
              <w:rPr>
                <w:b/>
                <w:sz w:val="20"/>
                <w:szCs w:val="20"/>
              </w:rPr>
            </w:pPr>
            <w:r w:rsidRPr="00613F01">
              <w:rPr>
                <w:b/>
                <w:sz w:val="20"/>
                <w:szCs w:val="20"/>
              </w:rPr>
              <w:t>WHAT IS YOUR DUTY OF CONFIDENTIALITY?</w:t>
            </w:r>
          </w:p>
          <w:p w14:paraId="550E1BED" w14:textId="77777777" w:rsidR="00B72825" w:rsidRPr="00613F01" w:rsidRDefault="00B72825" w:rsidP="00CC08FE">
            <w:pPr>
              <w:jc w:val="both"/>
              <w:rPr>
                <w:b/>
                <w:sz w:val="20"/>
                <w:szCs w:val="20"/>
              </w:rPr>
            </w:pPr>
            <w:r w:rsidRPr="00613F01">
              <w:rPr>
                <w:sz w:val="20"/>
                <w:szCs w:val="20"/>
              </w:rPr>
              <w:t xml:space="preserve">Examine the two characteristics of governments that bear on the question of confidentiality. The first characteristic concerns the legitimacy of the government’s keeping secret its own wrongdoing. The second characteristic concerns the way that the government controls its information. </w:t>
            </w:r>
            <w:r w:rsidR="00613F01" w:rsidRPr="00613F01">
              <w:rPr>
                <w:sz w:val="20"/>
                <w:szCs w:val="20"/>
              </w:rPr>
              <w:t>What information are government lawyers required to disclose—either in general or in response to a FOIA request?</w:t>
            </w:r>
          </w:p>
        </w:tc>
        <w:tc>
          <w:tcPr>
            <w:tcW w:w="1801" w:type="dxa"/>
            <w:vAlign w:val="center"/>
          </w:tcPr>
          <w:p w14:paraId="195239E7" w14:textId="77777777" w:rsidR="001323FB" w:rsidRPr="00C26210" w:rsidRDefault="001323FB" w:rsidP="00195EF4">
            <w:pPr>
              <w:pStyle w:val="ListParagraph"/>
              <w:ind w:left="0"/>
              <w:jc w:val="center"/>
              <w:rPr>
                <w:sz w:val="20"/>
                <w:szCs w:val="20"/>
              </w:rPr>
            </w:pPr>
          </w:p>
        </w:tc>
      </w:tr>
      <w:tr w:rsidR="001323FB" w:rsidRPr="00C26210" w14:paraId="5FADB6C7" w14:textId="77777777" w:rsidTr="00FA7A59">
        <w:trPr>
          <w:jc w:val="center"/>
        </w:trPr>
        <w:tc>
          <w:tcPr>
            <w:tcW w:w="7351" w:type="dxa"/>
            <w:tcMar>
              <w:top w:w="43" w:type="dxa"/>
              <w:left w:w="115" w:type="dxa"/>
              <w:bottom w:w="43" w:type="dxa"/>
              <w:right w:w="115" w:type="dxa"/>
            </w:tcMar>
            <w:vAlign w:val="center"/>
          </w:tcPr>
          <w:p w14:paraId="1F2C9466" w14:textId="77777777" w:rsidR="001323FB" w:rsidRPr="00613F01" w:rsidRDefault="00FA7A59" w:rsidP="00CC08FE">
            <w:pPr>
              <w:jc w:val="both"/>
              <w:rPr>
                <w:b/>
                <w:sz w:val="20"/>
                <w:szCs w:val="20"/>
              </w:rPr>
            </w:pPr>
            <w:r w:rsidRPr="00613F01">
              <w:rPr>
                <w:b/>
                <w:sz w:val="20"/>
                <w:szCs w:val="20"/>
              </w:rPr>
              <w:t>WHAT IS THE SCOPE OF YOUR DUTY AS ATTORNEY?</w:t>
            </w:r>
          </w:p>
          <w:p w14:paraId="0C45CF5F" w14:textId="3620E854" w:rsidR="00B72825" w:rsidRPr="00613F01" w:rsidRDefault="00FA7A59" w:rsidP="00CC08FE">
            <w:pPr>
              <w:jc w:val="both"/>
              <w:rPr>
                <w:sz w:val="20"/>
                <w:szCs w:val="20"/>
              </w:rPr>
            </w:pPr>
            <w:r w:rsidRPr="00613F01">
              <w:rPr>
                <w:sz w:val="20"/>
                <w:szCs w:val="20"/>
              </w:rPr>
              <w:t xml:space="preserve">A related strand of debate, unique to the government attorney’s counseling role, focuses on the stance the attorney should adopt in formulating an opinion for the client. Some argue for a neutral, adjudicative role, while others argue that the attorney should act as an advocate for </w:t>
            </w:r>
            <w:r w:rsidR="000F0FF8">
              <w:rPr>
                <w:sz w:val="20"/>
                <w:szCs w:val="20"/>
              </w:rPr>
              <w:t>their</w:t>
            </w:r>
            <w:r w:rsidRPr="00613F01">
              <w:rPr>
                <w:sz w:val="20"/>
                <w:szCs w:val="20"/>
              </w:rPr>
              <w:t xml:space="preserve"> client.</w:t>
            </w:r>
          </w:p>
          <w:p w14:paraId="6D313079" w14:textId="77777777" w:rsidR="00B72825" w:rsidRPr="00613F01" w:rsidRDefault="00B72825" w:rsidP="00CC08FE">
            <w:pPr>
              <w:jc w:val="both"/>
              <w:rPr>
                <w:sz w:val="20"/>
                <w:szCs w:val="20"/>
              </w:rPr>
            </w:pPr>
          </w:p>
          <w:p w14:paraId="131D7E4E" w14:textId="77777777" w:rsidR="00FA7A59" w:rsidRPr="00613F01" w:rsidRDefault="00B72825" w:rsidP="00CC08FE">
            <w:pPr>
              <w:jc w:val="both"/>
              <w:rPr>
                <w:sz w:val="20"/>
                <w:szCs w:val="20"/>
              </w:rPr>
            </w:pPr>
            <w:r w:rsidRPr="00613F01">
              <w:rPr>
                <w:sz w:val="20"/>
                <w:szCs w:val="20"/>
              </w:rPr>
              <w:t>Discuss the components and benefits the “Neutral Model” and the “Advocate Model” of practice.</w:t>
            </w:r>
          </w:p>
        </w:tc>
        <w:tc>
          <w:tcPr>
            <w:tcW w:w="1801" w:type="dxa"/>
            <w:vAlign w:val="center"/>
          </w:tcPr>
          <w:p w14:paraId="6D8342FC" w14:textId="77777777" w:rsidR="001323FB" w:rsidRPr="00C26210" w:rsidRDefault="001323FB" w:rsidP="00195EF4">
            <w:pPr>
              <w:pStyle w:val="ListParagraph"/>
              <w:ind w:left="0"/>
              <w:jc w:val="center"/>
              <w:rPr>
                <w:sz w:val="20"/>
                <w:szCs w:val="20"/>
              </w:rPr>
            </w:pPr>
          </w:p>
        </w:tc>
      </w:tr>
      <w:tr w:rsidR="001323FB" w:rsidRPr="00C26210" w14:paraId="5AAEDB9C" w14:textId="77777777" w:rsidTr="00FA7A59">
        <w:trPr>
          <w:jc w:val="center"/>
        </w:trPr>
        <w:tc>
          <w:tcPr>
            <w:tcW w:w="7351" w:type="dxa"/>
            <w:tcMar>
              <w:top w:w="43" w:type="dxa"/>
              <w:left w:w="115" w:type="dxa"/>
              <w:bottom w:w="43" w:type="dxa"/>
              <w:right w:w="115" w:type="dxa"/>
            </w:tcMar>
            <w:vAlign w:val="center"/>
          </w:tcPr>
          <w:p w14:paraId="2649EC9A" w14:textId="77777777" w:rsidR="001323FB" w:rsidRPr="00613F01" w:rsidRDefault="00FA7A59" w:rsidP="00CC08FE">
            <w:pPr>
              <w:jc w:val="both"/>
              <w:rPr>
                <w:b/>
                <w:sz w:val="20"/>
                <w:szCs w:val="20"/>
              </w:rPr>
            </w:pPr>
            <w:r w:rsidRPr="00613F01">
              <w:rPr>
                <w:b/>
                <w:sz w:val="20"/>
                <w:szCs w:val="20"/>
              </w:rPr>
              <w:t xml:space="preserve">GREATER OBLIGATIONS OF CANDOR </w:t>
            </w:r>
          </w:p>
          <w:p w14:paraId="7D069088" w14:textId="77777777" w:rsidR="00613F01" w:rsidRPr="00613F01" w:rsidRDefault="00613F01" w:rsidP="00CC08FE">
            <w:pPr>
              <w:jc w:val="both"/>
              <w:rPr>
                <w:sz w:val="20"/>
                <w:szCs w:val="20"/>
              </w:rPr>
            </w:pPr>
            <w:r w:rsidRPr="00613F01">
              <w:rPr>
                <w:sz w:val="20"/>
                <w:szCs w:val="20"/>
                <w:shd w:val="clear" w:color="auto" w:fill="FFFFFF"/>
              </w:rPr>
              <w:t xml:space="preserve">Government lawyers enjoy the tremendous goodwill that flows from the common perception that, because they represent the public rather than self-interested private parties, they are more honest and forthcoming in giving courts not just the truth but the whole truth. When the client in a criminal or civil case is the United States of America or the State of Colorado, the attorney has already taken the high ground because the public and the judiciary often expect greater candor from government attorneys. Discuss the greater perception of candor afforded to government attorneys and the obligation to invoke said candor, even when it could potentially harm your case. </w:t>
            </w:r>
          </w:p>
        </w:tc>
        <w:tc>
          <w:tcPr>
            <w:tcW w:w="1801" w:type="dxa"/>
            <w:vAlign w:val="center"/>
          </w:tcPr>
          <w:p w14:paraId="7FE3A145" w14:textId="77777777" w:rsidR="001323FB" w:rsidRPr="00C26210" w:rsidRDefault="001323FB" w:rsidP="00195EF4">
            <w:pPr>
              <w:pStyle w:val="ListParagraph"/>
              <w:ind w:left="0"/>
              <w:jc w:val="center"/>
              <w:rPr>
                <w:sz w:val="20"/>
                <w:szCs w:val="20"/>
              </w:rPr>
            </w:pPr>
          </w:p>
        </w:tc>
      </w:tr>
      <w:tr w:rsidR="001323FB" w:rsidRPr="00C26210" w14:paraId="30762BE6" w14:textId="77777777" w:rsidTr="00FA7A59">
        <w:trPr>
          <w:jc w:val="center"/>
        </w:trPr>
        <w:tc>
          <w:tcPr>
            <w:tcW w:w="7351" w:type="dxa"/>
            <w:tcMar>
              <w:top w:w="43" w:type="dxa"/>
              <w:left w:w="115" w:type="dxa"/>
              <w:bottom w:w="43" w:type="dxa"/>
              <w:right w:w="115" w:type="dxa"/>
            </w:tcMar>
            <w:vAlign w:val="center"/>
          </w:tcPr>
          <w:p w14:paraId="012BE025" w14:textId="77777777" w:rsidR="001323FB" w:rsidRPr="0067035F" w:rsidRDefault="00FA7A59" w:rsidP="00CC08FE">
            <w:pPr>
              <w:jc w:val="both"/>
              <w:rPr>
                <w:b/>
                <w:sz w:val="20"/>
                <w:szCs w:val="20"/>
              </w:rPr>
            </w:pPr>
            <w:r w:rsidRPr="0067035F">
              <w:rPr>
                <w:b/>
                <w:sz w:val="20"/>
                <w:szCs w:val="20"/>
              </w:rPr>
              <w:t>THE SPECIAL RESPONSIBILITIES OF PROSECUTORS</w:t>
            </w:r>
          </w:p>
          <w:p w14:paraId="0B429135" w14:textId="54975A98" w:rsidR="00613F01" w:rsidRPr="00C26210" w:rsidRDefault="00613F01" w:rsidP="00CC08FE">
            <w:pPr>
              <w:jc w:val="both"/>
              <w:rPr>
                <w:sz w:val="20"/>
                <w:szCs w:val="20"/>
              </w:rPr>
            </w:pPr>
            <w:r>
              <w:rPr>
                <w:sz w:val="20"/>
                <w:szCs w:val="20"/>
              </w:rPr>
              <w:t xml:space="preserve">Review </w:t>
            </w:r>
            <w:hyperlink r:id="rId17" w:history="1">
              <w:r w:rsidRPr="002A16CC">
                <w:rPr>
                  <w:rStyle w:val="Hyperlink"/>
                  <w:sz w:val="20"/>
                  <w:szCs w:val="20"/>
                </w:rPr>
                <w:t>Colorado Rule of Professional Conduct 3.8</w:t>
              </w:r>
            </w:hyperlink>
            <w:r>
              <w:rPr>
                <w:sz w:val="20"/>
                <w:szCs w:val="20"/>
              </w:rPr>
              <w:t xml:space="preserve"> and discuss the special responsibilities of prosecutors and how to best incorp</w:t>
            </w:r>
            <w:r w:rsidR="0067035F">
              <w:rPr>
                <w:sz w:val="20"/>
                <w:szCs w:val="20"/>
              </w:rPr>
              <w:t xml:space="preserve">orate this rule into </w:t>
            </w:r>
            <w:r w:rsidR="00562B11">
              <w:rPr>
                <w:sz w:val="20"/>
                <w:szCs w:val="20"/>
              </w:rPr>
              <w:t>Mentee</w:t>
            </w:r>
            <w:r w:rsidR="0067035F">
              <w:rPr>
                <w:sz w:val="20"/>
                <w:szCs w:val="20"/>
              </w:rPr>
              <w:t>’s professional identity as a prosecutor</w:t>
            </w:r>
            <w:r>
              <w:rPr>
                <w:sz w:val="20"/>
                <w:szCs w:val="20"/>
              </w:rPr>
              <w:t xml:space="preserve">. </w:t>
            </w:r>
          </w:p>
        </w:tc>
        <w:tc>
          <w:tcPr>
            <w:tcW w:w="1801" w:type="dxa"/>
            <w:vAlign w:val="center"/>
          </w:tcPr>
          <w:p w14:paraId="13C966B7" w14:textId="77777777" w:rsidR="001323FB" w:rsidRPr="00C26210" w:rsidRDefault="001323FB" w:rsidP="00195EF4">
            <w:pPr>
              <w:pStyle w:val="ListParagraph"/>
              <w:ind w:left="0"/>
              <w:jc w:val="center"/>
              <w:rPr>
                <w:sz w:val="20"/>
                <w:szCs w:val="20"/>
              </w:rPr>
            </w:pPr>
          </w:p>
        </w:tc>
      </w:tr>
      <w:tr w:rsidR="001323FB" w:rsidRPr="00C26210" w14:paraId="3824D423" w14:textId="77777777" w:rsidTr="00FA7A59">
        <w:trPr>
          <w:jc w:val="center"/>
        </w:trPr>
        <w:tc>
          <w:tcPr>
            <w:tcW w:w="7351" w:type="dxa"/>
            <w:tcMar>
              <w:top w:w="43" w:type="dxa"/>
              <w:left w:w="115" w:type="dxa"/>
              <w:bottom w:w="43" w:type="dxa"/>
              <w:right w:w="115" w:type="dxa"/>
            </w:tcMar>
            <w:vAlign w:val="center"/>
          </w:tcPr>
          <w:p w14:paraId="407ED53C" w14:textId="77777777" w:rsidR="0067035F" w:rsidRPr="0067035F" w:rsidRDefault="007203C7" w:rsidP="00CC08FE">
            <w:pPr>
              <w:jc w:val="both"/>
              <w:rPr>
                <w:b/>
                <w:sz w:val="20"/>
                <w:szCs w:val="20"/>
              </w:rPr>
            </w:pPr>
            <w:r w:rsidRPr="0067035F">
              <w:rPr>
                <w:b/>
                <w:sz w:val="20"/>
                <w:szCs w:val="20"/>
              </w:rPr>
              <w:t>WHAT ARE THE RIGHTS OF GOVERNMENT LAWYERS?</w:t>
            </w:r>
          </w:p>
          <w:p w14:paraId="5CC7233E" w14:textId="77777777" w:rsidR="0067035F" w:rsidRPr="0067035F" w:rsidRDefault="0067035F" w:rsidP="00CC08FE">
            <w:pPr>
              <w:jc w:val="both"/>
              <w:rPr>
                <w:sz w:val="20"/>
                <w:szCs w:val="20"/>
              </w:rPr>
            </w:pPr>
            <w:r w:rsidRPr="0067035F">
              <w:rPr>
                <w:sz w:val="20"/>
                <w:szCs w:val="20"/>
              </w:rPr>
              <w:t xml:space="preserve">Must government lawyers defend laws or legal positions they deem unconstitutional? Discuss how to balance </w:t>
            </w:r>
            <w:r w:rsidRPr="0067035F">
              <w:rPr>
                <w:color w:val="333333"/>
                <w:sz w:val="20"/>
                <w:szCs w:val="20"/>
              </w:rPr>
              <w:t>the ethical obligation that an attorney has to zealously represent the client – in these cases, the federal government or the state government with the legal officer’s</w:t>
            </w:r>
            <w:r w:rsidRPr="0067035F">
              <w:rPr>
                <w:rFonts w:eastAsia="Times New Roman"/>
                <w:color w:val="333333"/>
                <w:sz w:val="20"/>
                <w:szCs w:val="20"/>
              </w:rPr>
              <w:t xml:space="preserve"> oath to defend the Constitution.  </w:t>
            </w:r>
            <w:r w:rsidRPr="0067035F">
              <w:rPr>
                <w:color w:val="333333"/>
                <w:sz w:val="20"/>
                <w:szCs w:val="20"/>
              </w:rPr>
              <w:t xml:space="preserve">What happens when a government attorney cannot do both at the same time? </w:t>
            </w:r>
          </w:p>
        </w:tc>
        <w:tc>
          <w:tcPr>
            <w:tcW w:w="1801" w:type="dxa"/>
            <w:vAlign w:val="center"/>
          </w:tcPr>
          <w:p w14:paraId="5E9FEBC5" w14:textId="77777777" w:rsidR="001323FB" w:rsidRPr="00C26210" w:rsidRDefault="001323FB" w:rsidP="00195EF4">
            <w:pPr>
              <w:pStyle w:val="ListParagraph"/>
              <w:ind w:left="0"/>
              <w:jc w:val="center"/>
              <w:rPr>
                <w:sz w:val="20"/>
                <w:szCs w:val="20"/>
              </w:rPr>
            </w:pPr>
          </w:p>
        </w:tc>
      </w:tr>
    </w:tbl>
    <w:p w14:paraId="77EB07F2" w14:textId="77777777" w:rsidR="001323FB" w:rsidRDefault="001323FB" w:rsidP="001323FB">
      <w:pPr>
        <w:pStyle w:val="ListParagraph"/>
        <w:rPr>
          <w:sz w:val="20"/>
          <w:szCs w:val="20"/>
        </w:rPr>
      </w:pPr>
    </w:p>
    <w:p w14:paraId="0E9CC8D3"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lastRenderedPageBreak/>
        <w:t>When Your Client is an Under Represented or Minority Population</w:t>
      </w:r>
      <w:r w:rsidR="00D2670C">
        <w:rPr>
          <w:b/>
          <w:sz w:val="20"/>
          <w:szCs w:val="20"/>
        </w:rPr>
        <w:t xml:space="preserve"> </w:t>
      </w:r>
      <w:r w:rsidR="00D2670C" w:rsidRPr="00C26210">
        <w:rPr>
          <w:b/>
          <w:sz w:val="20"/>
          <w:szCs w:val="20"/>
        </w:rPr>
        <w:t xml:space="preserve">(complete at least </w:t>
      </w:r>
      <w:r w:rsidR="00D2670C">
        <w:rPr>
          <w:b/>
          <w:sz w:val="20"/>
          <w:szCs w:val="20"/>
        </w:rPr>
        <w:t>two</w:t>
      </w:r>
      <w:r w:rsidR="00D2670C" w:rsidRPr="00C26210">
        <w:rPr>
          <w:b/>
          <w:sz w:val="20"/>
          <w:szCs w:val="20"/>
        </w:rPr>
        <w:t>)</w:t>
      </w:r>
    </w:p>
    <w:p w14:paraId="2FD10E83"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1323FB" w:rsidRPr="00C26210" w14:paraId="3EF41D66" w14:textId="77777777" w:rsidTr="00BE09D7">
        <w:trPr>
          <w:jc w:val="center"/>
        </w:trPr>
        <w:tc>
          <w:tcPr>
            <w:tcW w:w="7227" w:type="dxa"/>
            <w:vAlign w:val="center"/>
          </w:tcPr>
          <w:p w14:paraId="0226727D" w14:textId="77777777" w:rsidR="001323FB" w:rsidRPr="00C26210" w:rsidRDefault="001323FB" w:rsidP="00195EF4">
            <w:pPr>
              <w:pStyle w:val="ListParagraph"/>
              <w:ind w:left="0"/>
              <w:jc w:val="center"/>
              <w:rPr>
                <w:sz w:val="20"/>
                <w:szCs w:val="20"/>
              </w:rPr>
            </w:pPr>
            <w:r w:rsidRPr="00C26210">
              <w:rPr>
                <w:sz w:val="20"/>
                <w:szCs w:val="20"/>
              </w:rPr>
              <w:t>Action</w:t>
            </w:r>
          </w:p>
        </w:tc>
        <w:tc>
          <w:tcPr>
            <w:tcW w:w="1921" w:type="dxa"/>
            <w:vAlign w:val="center"/>
          </w:tcPr>
          <w:p w14:paraId="1802D00C"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1F0CA72" w14:textId="77777777" w:rsidTr="00BE09D7">
        <w:trPr>
          <w:jc w:val="center"/>
        </w:trPr>
        <w:tc>
          <w:tcPr>
            <w:tcW w:w="7227" w:type="dxa"/>
            <w:tcMar>
              <w:top w:w="43" w:type="dxa"/>
              <w:left w:w="115" w:type="dxa"/>
              <w:bottom w:w="43" w:type="dxa"/>
              <w:right w:w="115" w:type="dxa"/>
            </w:tcMar>
            <w:vAlign w:val="center"/>
          </w:tcPr>
          <w:p w14:paraId="3618B603" w14:textId="77777777" w:rsidR="001323FB" w:rsidRPr="005F56DD" w:rsidRDefault="005F56DD" w:rsidP="00CC08FE">
            <w:pPr>
              <w:jc w:val="both"/>
              <w:rPr>
                <w:b/>
                <w:sz w:val="20"/>
                <w:szCs w:val="20"/>
              </w:rPr>
            </w:pPr>
            <w:r w:rsidRPr="005F56DD">
              <w:rPr>
                <w:b/>
                <w:sz w:val="20"/>
                <w:szCs w:val="20"/>
              </w:rPr>
              <w:t>HOW TO THINK LIKE A PUBLIC INTEREST LAWYER</w:t>
            </w:r>
          </w:p>
          <w:p w14:paraId="6D0B5067" w14:textId="4D7B6AF6" w:rsidR="005F56DD" w:rsidRPr="005F56DD" w:rsidRDefault="005F56DD" w:rsidP="00CC08FE">
            <w:pPr>
              <w:jc w:val="both"/>
              <w:rPr>
                <w:sz w:val="20"/>
                <w:szCs w:val="20"/>
              </w:rPr>
            </w:pPr>
            <w:r w:rsidRPr="005F56DD">
              <w:rPr>
                <w:sz w:val="20"/>
                <w:szCs w:val="20"/>
              </w:rPr>
              <w:t xml:space="preserve">Learning how to think like a public interest lawyer cannot be a value-neutral enterprise. How can one fight for what is good, right, or just if one does not ask what is good, right, or just? Discuss with </w:t>
            </w:r>
            <w:r w:rsidR="00562B11">
              <w:rPr>
                <w:sz w:val="20"/>
                <w:szCs w:val="20"/>
              </w:rPr>
              <w:t>Mentee</w:t>
            </w:r>
            <w:r w:rsidRPr="005F56DD">
              <w:rPr>
                <w:sz w:val="20"/>
                <w:szCs w:val="20"/>
              </w:rPr>
              <w:t xml:space="preserve"> their personal approach to analyzing what is “good, right, and just” in society and how that approach impacts their professional identity and practice as a public interest lawyer.</w:t>
            </w:r>
            <w:r>
              <w:t xml:space="preserve"> </w:t>
            </w:r>
          </w:p>
        </w:tc>
        <w:tc>
          <w:tcPr>
            <w:tcW w:w="1921" w:type="dxa"/>
            <w:vAlign w:val="center"/>
          </w:tcPr>
          <w:p w14:paraId="66186BEA" w14:textId="77777777" w:rsidR="001323FB" w:rsidRPr="00C26210" w:rsidRDefault="001323FB" w:rsidP="00195EF4">
            <w:pPr>
              <w:pStyle w:val="ListParagraph"/>
              <w:ind w:left="0"/>
              <w:jc w:val="center"/>
              <w:rPr>
                <w:sz w:val="20"/>
                <w:szCs w:val="20"/>
              </w:rPr>
            </w:pPr>
          </w:p>
        </w:tc>
      </w:tr>
      <w:tr w:rsidR="001323FB" w:rsidRPr="00C26210" w14:paraId="1BC622D0" w14:textId="77777777" w:rsidTr="00BE09D7">
        <w:trPr>
          <w:jc w:val="center"/>
        </w:trPr>
        <w:tc>
          <w:tcPr>
            <w:tcW w:w="7227" w:type="dxa"/>
            <w:tcMar>
              <w:top w:w="43" w:type="dxa"/>
              <w:left w:w="115" w:type="dxa"/>
              <w:bottom w:w="43" w:type="dxa"/>
              <w:right w:w="115" w:type="dxa"/>
            </w:tcMar>
            <w:vAlign w:val="center"/>
          </w:tcPr>
          <w:p w14:paraId="1D935A79" w14:textId="77777777" w:rsidR="001323FB" w:rsidRDefault="005F56DD" w:rsidP="00CC08FE">
            <w:pPr>
              <w:jc w:val="both"/>
              <w:rPr>
                <w:b/>
                <w:sz w:val="20"/>
                <w:szCs w:val="20"/>
              </w:rPr>
            </w:pPr>
            <w:r>
              <w:rPr>
                <w:b/>
                <w:sz w:val="20"/>
                <w:szCs w:val="20"/>
              </w:rPr>
              <w:t>INTELLECUTAL ACTIVISM</w:t>
            </w:r>
          </w:p>
          <w:p w14:paraId="39028C61" w14:textId="77777777" w:rsidR="005F56DD" w:rsidRPr="009A3EC9" w:rsidRDefault="005F56DD" w:rsidP="00CC08FE">
            <w:pPr>
              <w:jc w:val="both"/>
              <w:rPr>
                <w:sz w:val="20"/>
                <w:szCs w:val="20"/>
              </w:rPr>
            </w:pPr>
            <w:r w:rsidRPr="009A3EC9">
              <w:rPr>
                <w:sz w:val="20"/>
                <w:szCs w:val="20"/>
              </w:rPr>
              <w:t xml:space="preserve">Defined as </w:t>
            </w:r>
            <w:r w:rsidRPr="009A3EC9">
              <w:rPr>
                <w:color w:val="000000"/>
                <w:sz w:val="20"/>
                <w:szCs w:val="20"/>
                <w:shd w:val="clear" w:color="auto" w:fill="FFFFFF"/>
              </w:rPr>
              <w:t>conducting and publishing original research and analysis and then applying that work to the tasks of reforming and improving the law, legal systems, and the legal profession.</w:t>
            </w:r>
            <w:r w:rsidR="009A3EC9">
              <w:rPr>
                <w:color w:val="000000"/>
                <w:sz w:val="20"/>
                <w:szCs w:val="20"/>
                <w:shd w:val="clear" w:color="auto" w:fill="FFFFFF"/>
              </w:rPr>
              <w:t xml:space="preserve"> Discuss the role of the public interest lawyer in engaging in intellectual activism for the betterment of improving the law and legal system for underrepresented populations. </w:t>
            </w:r>
          </w:p>
        </w:tc>
        <w:tc>
          <w:tcPr>
            <w:tcW w:w="1921" w:type="dxa"/>
            <w:vAlign w:val="center"/>
          </w:tcPr>
          <w:p w14:paraId="31D03676" w14:textId="77777777" w:rsidR="001323FB" w:rsidRPr="00C26210" w:rsidRDefault="001323FB" w:rsidP="00195EF4">
            <w:pPr>
              <w:pStyle w:val="ListParagraph"/>
              <w:ind w:left="0"/>
              <w:jc w:val="center"/>
              <w:rPr>
                <w:sz w:val="20"/>
                <w:szCs w:val="20"/>
              </w:rPr>
            </w:pPr>
          </w:p>
        </w:tc>
      </w:tr>
      <w:tr w:rsidR="001323FB" w:rsidRPr="00C26210" w14:paraId="5720FC47" w14:textId="77777777" w:rsidTr="00BE09D7">
        <w:trPr>
          <w:jc w:val="center"/>
        </w:trPr>
        <w:tc>
          <w:tcPr>
            <w:tcW w:w="7227" w:type="dxa"/>
            <w:tcMar>
              <w:top w:w="43" w:type="dxa"/>
              <w:left w:w="115" w:type="dxa"/>
              <w:bottom w:w="43" w:type="dxa"/>
              <w:right w:w="115" w:type="dxa"/>
            </w:tcMar>
            <w:vAlign w:val="center"/>
          </w:tcPr>
          <w:p w14:paraId="1B324627" w14:textId="77777777" w:rsidR="001323FB" w:rsidRPr="009A3EC9" w:rsidRDefault="009A3EC9" w:rsidP="00CC08FE">
            <w:pPr>
              <w:jc w:val="both"/>
              <w:rPr>
                <w:b/>
                <w:sz w:val="20"/>
                <w:szCs w:val="20"/>
              </w:rPr>
            </w:pPr>
            <w:r w:rsidRPr="009A3EC9">
              <w:rPr>
                <w:b/>
                <w:sz w:val="20"/>
                <w:szCs w:val="20"/>
              </w:rPr>
              <w:t>ACCESS TO JUSTICE – PRO BONO</w:t>
            </w:r>
          </w:p>
          <w:p w14:paraId="72BA0FAB" w14:textId="12C32EDF" w:rsidR="009A3EC9" w:rsidRPr="00C26210" w:rsidRDefault="009A3EC9">
            <w:pPr>
              <w:jc w:val="both"/>
              <w:rPr>
                <w:sz w:val="20"/>
                <w:szCs w:val="20"/>
              </w:rPr>
            </w:pPr>
            <w:r w:rsidRPr="009A3EC9">
              <w:rPr>
                <w:color w:val="000000"/>
                <w:sz w:val="20"/>
                <w:szCs w:val="20"/>
                <w:shd w:val="clear" w:color="auto" w:fill="FFFFFF"/>
              </w:rPr>
              <w:t>Some public interest attorneys have the belief that pro bono is not the solution to creating greater access to justice for low</w:t>
            </w:r>
            <w:r w:rsidR="002A16CC">
              <w:rPr>
                <w:color w:val="000000"/>
                <w:sz w:val="20"/>
                <w:szCs w:val="20"/>
                <w:shd w:val="clear" w:color="auto" w:fill="FFFFFF"/>
              </w:rPr>
              <w:t>-</w:t>
            </w:r>
            <w:r w:rsidRPr="009A3EC9">
              <w:rPr>
                <w:color w:val="000000"/>
                <w:sz w:val="20"/>
                <w:szCs w:val="20"/>
                <w:shd w:val="clear" w:color="auto" w:fill="FFFFFF"/>
              </w:rPr>
              <w:t xml:space="preserve"> and no</w:t>
            </w:r>
            <w:r w:rsidR="002A16CC">
              <w:rPr>
                <w:color w:val="000000"/>
                <w:sz w:val="20"/>
                <w:szCs w:val="20"/>
                <w:shd w:val="clear" w:color="auto" w:fill="FFFFFF"/>
              </w:rPr>
              <w:t>-</w:t>
            </w:r>
            <w:r w:rsidRPr="009A3EC9">
              <w:rPr>
                <w:color w:val="000000"/>
                <w:sz w:val="20"/>
                <w:szCs w:val="20"/>
                <w:shd w:val="clear" w:color="auto" w:fill="FFFFFF"/>
              </w:rPr>
              <w:t xml:space="preserve">income litigants. Discuss </w:t>
            </w:r>
            <w:r w:rsidR="00562B11">
              <w:rPr>
                <w:color w:val="000000"/>
                <w:sz w:val="20"/>
                <w:szCs w:val="20"/>
                <w:shd w:val="clear" w:color="auto" w:fill="FFFFFF"/>
              </w:rPr>
              <w:t>Mentee</w:t>
            </w:r>
            <w:r w:rsidRPr="009A3EC9">
              <w:rPr>
                <w:color w:val="000000"/>
                <w:sz w:val="20"/>
                <w:szCs w:val="20"/>
                <w:shd w:val="clear" w:color="auto" w:fill="FFFFFF"/>
              </w:rPr>
              <w:t>’s perception of pro bono service as a mechanism for addressing the access to justice gap and brainstorm ideas for meeting needs of litigants left unaddressed by traditional legal aid.</w:t>
            </w:r>
            <w:r>
              <w:rPr>
                <w:rFonts w:ascii="Arial" w:hAnsi="Arial" w:cs="Arial"/>
                <w:color w:val="000000"/>
                <w:sz w:val="21"/>
                <w:szCs w:val="21"/>
                <w:shd w:val="clear" w:color="auto" w:fill="FFFFFF"/>
              </w:rPr>
              <w:t xml:space="preserve"> </w:t>
            </w:r>
          </w:p>
        </w:tc>
        <w:tc>
          <w:tcPr>
            <w:tcW w:w="1921" w:type="dxa"/>
            <w:vAlign w:val="center"/>
          </w:tcPr>
          <w:p w14:paraId="66F81A97" w14:textId="77777777" w:rsidR="001323FB" w:rsidRPr="00C26210" w:rsidRDefault="001323FB" w:rsidP="00195EF4">
            <w:pPr>
              <w:pStyle w:val="ListParagraph"/>
              <w:ind w:left="0"/>
              <w:jc w:val="center"/>
              <w:rPr>
                <w:sz w:val="20"/>
                <w:szCs w:val="20"/>
              </w:rPr>
            </w:pPr>
          </w:p>
        </w:tc>
      </w:tr>
      <w:tr w:rsidR="001323FB" w:rsidRPr="00C26210" w14:paraId="006B0604" w14:textId="77777777" w:rsidTr="00BE09D7">
        <w:trPr>
          <w:jc w:val="center"/>
        </w:trPr>
        <w:tc>
          <w:tcPr>
            <w:tcW w:w="7227" w:type="dxa"/>
            <w:tcMar>
              <w:top w:w="43" w:type="dxa"/>
              <w:left w:w="115" w:type="dxa"/>
              <w:bottom w:w="43" w:type="dxa"/>
              <w:right w:w="115" w:type="dxa"/>
            </w:tcMar>
          </w:tcPr>
          <w:p w14:paraId="277B1F70" w14:textId="0C296F19" w:rsidR="001323FB" w:rsidRDefault="009A3EC9" w:rsidP="00CC08FE">
            <w:pPr>
              <w:jc w:val="both"/>
              <w:rPr>
                <w:b/>
                <w:sz w:val="20"/>
                <w:szCs w:val="20"/>
              </w:rPr>
            </w:pPr>
            <w:r w:rsidRPr="00A676A6">
              <w:rPr>
                <w:b/>
                <w:sz w:val="20"/>
                <w:szCs w:val="20"/>
              </w:rPr>
              <w:t xml:space="preserve">CULTURAL </w:t>
            </w:r>
            <w:r w:rsidR="00F4218D">
              <w:rPr>
                <w:b/>
                <w:sz w:val="20"/>
                <w:szCs w:val="20"/>
              </w:rPr>
              <w:t>EMPATHY</w:t>
            </w:r>
          </w:p>
          <w:p w14:paraId="3971D7E4" w14:textId="4363400B" w:rsidR="007E7F92" w:rsidRPr="00BE09D7" w:rsidRDefault="007E7F92" w:rsidP="00CC08FE">
            <w:pPr>
              <w:jc w:val="both"/>
              <w:rPr>
                <w:sz w:val="20"/>
                <w:szCs w:val="20"/>
              </w:rPr>
            </w:pPr>
            <w:r w:rsidRPr="00BE09D7">
              <w:rPr>
                <w:sz w:val="20"/>
                <w:szCs w:val="20"/>
              </w:rPr>
              <w:t xml:space="preserve">As the deliverer of services to </w:t>
            </w:r>
            <w:proofErr w:type="gramStart"/>
            <w:r w:rsidR="00BE09D7" w:rsidRPr="00BE09D7">
              <w:rPr>
                <w:sz w:val="20"/>
                <w:szCs w:val="20"/>
              </w:rPr>
              <w:t>economically disadvantaged</w:t>
            </w:r>
            <w:proofErr w:type="gramEnd"/>
            <w:r w:rsidR="00BE09D7" w:rsidRPr="00BE09D7">
              <w:rPr>
                <w:sz w:val="20"/>
                <w:szCs w:val="20"/>
              </w:rPr>
              <w:t xml:space="preserve"> and/or underrepresented populations, </w:t>
            </w:r>
            <w:r w:rsidR="00562B11">
              <w:rPr>
                <w:sz w:val="20"/>
                <w:szCs w:val="20"/>
              </w:rPr>
              <w:t>Mentee</w:t>
            </w:r>
            <w:r w:rsidR="00BE09D7" w:rsidRPr="00BE09D7">
              <w:rPr>
                <w:sz w:val="20"/>
                <w:szCs w:val="20"/>
              </w:rPr>
              <w:t xml:space="preserve">’s cultural </w:t>
            </w:r>
            <w:r w:rsidR="00F4218D">
              <w:rPr>
                <w:sz w:val="20"/>
                <w:szCs w:val="20"/>
              </w:rPr>
              <w:t>empathy</w:t>
            </w:r>
            <w:r w:rsidR="00BE09D7" w:rsidRPr="00BE09D7">
              <w:rPr>
                <w:sz w:val="20"/>
                <w:szCs w:val="20"/>
              </w:rPr>
              <w:t xml:space="preserve"> for working with these client populations is routinely tested.</w:t>
            </w:r>
          </w:p>
          <w:p w14:paraId="5F741540" w14:textId="77777777" w:rsidR="00BE09D7" w:rsidRPr="00BE09D7" w:rsidRDefault="00BE09D7" w:rsidP="00CC08FE">
            <w:pPr>
              <w:jc w:val="both"/>
              <w:rPr>
                <w:sz w:val="20"/>
                <w:szCs w:val="20"/>
              </w:rPr>
            </w:pPr>
          </w:p>
          <w:p w14:paraId="1ABC2A56" w14:textId="53E9715F" w:rsidR="007E7F92" w:rsidRPr="00A676A6" w:rsidRDefault="00BE09D7">
            <w:pPr>
              <w:jc w:val="both"/>
              <w:rPr>
                <w:b/>
                <w:sz w:val="20"/>
                <w:szCs w:val="20"/>
              </w:rPr>
            </w:pPr>
            <w:r w:rsidRPr="00BE09D7">
              <w:rPr>
                <w:sz w:val="20"/>
                <w:szCs w:val="20"/>
              </w:rPr>
              <w:t xml:space="preserve">Discuss how </w:t>
            </w:r>
            <w:r w:rsidR="00562B11">
              <w:rPr>
                <w:sz w:val="20"/>
                <w:szCs w:val="20"/>
              </w:rPr>
              <w:t>Mentee</w:t>
            </w:r>
            <w:r w:rsidRPr="00BE09D7">
              <w:rPr>
                <w:sz w:val="20"/>
                <w:szCs w:val="20"/>
              </w:rPr>
              <w:t xml:space="preserve"> intends to practice and improve </w:t>
            </w:r>
            <w:r w:rsidR="000F0FF8">
              <w:rPr>
                <w:sz w:val="20"/>
                <w:szCs w:val="20"/>
              </w:rPr>
              <w:t>their</w:t>
            </w:r>
            <w:r w:rsidRPr="00BE09D7">
              <w:rPr>
                <w:sz w:val="20"/>
                <w:szCs w:val="20"/>
              </w:rPr>
              <w:t xml:space="preserve"> cultural</w:t>
            </w:r>
            <w:r w:rsidR="00F4218D">
              <w:rPr>
                <w:sz w:val="20"/>
                <w:szCs w:val="20"/>
              </w:rPr>
              <w:t xml:space="preserve"> empathy</w:t>
            </w:r>
            <w:r w:rsidRPr="00BE09D7">
              <w:rPr>
                <w:sz w:val="20"/>
                <w:szCs w:val="20"/>
              </w:rPr>
              <w:t xml:space="preserve"> </w:t>
            </w:r>
            <w:r w:rsidR="00F4218D" w:rsidRPr="00BE09D7">
              <w:rPr>
                <w:sz w:val="20"/>
                <w:szCs w:val="20"/>
              </w:rPr>
              <w:t>to</w:t>
            </w:r>
            <w:r w:rsidRPr="00BE09D7">
              <w:rPr>
                <w:sz w:val="20"/>
                <w:szCs w:val="20"/>
              </w:rPr>
              <w:t xml:space="preserve"> best appreciate and serve these minority populations. How will cultural competence inform </w:t>
            </w:r>
            <w:r w:rsidR="00562B11">
              <w:rPr>
                <w:sz w:val="20"/>
                <w:szCs w:val="20"/>
              </w:rPr>
              <w:t>Mentee</w:t>
            </w:r>
            <w:r w:rsidRPr="00BE09D7">
              <w:rPr>
                <w:sz w:val="20"/>
                <w:szCs w:val="20"/>
              </w:rPr>
              <w:t>’s professional identity?</w:t>
            </w:r>
          </w:p>
        </w:tc>
        <w:tc>
          <w:tcPr>
            <w:tcW w:w="1921" w:type="dxa"/>
            <w:vAlign w:val="center"/>
          </w:tcPr>
          <w:p w14:paraId="3FB0E5C1" w14:textId="77777777" w:rsidR="001323FB" w:rsidRPr="00C26210" w:rsidRDefault="001323FB" w:rsidP="00195EF4">
            <w:pPr>
              <w:pStyle w:val="ListParagraph"/>
              <w:ind w:left="0"/>
              <w:jc w:val="center"/>
              <w:rPr>
                <w:sz w:val="20"/>
                <w:szCs w:val="20"/>
              </w:rPr>
            </w:pPr>
          </w:p>
        </w:tc>
      </w:tr>
      <w:tr w:rsidR="001323FB" w:rsidRPr="00C26210" w14:paraId="705F9143" w14:textId="77777777" w:rsidTr="00BE09D7">
        <w:trPr>
          <w:jc w:val="center"/>
        </w:trPr>
        <w:tc>
          <w:tcPr>
            <w:tcW w:w="7227" w:type="dxa"/>
            <w:tcMar>
              <w:top w:w="43" w:type="dxa"/>
              <w:left w:w="115" w:type="dxa"/>
              <w:bottom w:w="43" w:type="dxa"/>
              <w:right w:w="115" w:type="dxa"/>
            </w:tcMar>
          </w:tcPr>
          <w:p w14:paraId="24D28652" w14:textId="77777777" w:rsidR="001323FB" w:rsidRPr="00A676A6" w:rsidRDefault="009A3EC9" w:rsidP="00CC08FE">
            <w:pPr>
              <w:jc w:val="both"/>
              <w:rPr>
                <w:b/>
                <w:sz w:val="20"/>
                <w:szCs w:val="20"/>
              </w:rPr>
            </w:pPr>
            <w:r w:rsidRPr="00A676A6">
              <w:rPr>
                <w:b/>
                <w:sz w:val="20"/>
                <w:szCs w:val="20"/>
              </w:rPr>
              <w:t>SENTENCING BIAS</w:t>
            </w:r>
          </w:p>
          <w:p w14:paraId="3B77BA7A" w14:textId="294F6870" w:rsidR="009A3EC9" w:rsidRDefault="009A3EC9" w:rsidP="00CC08FE">
            <w:pPr>
              <w:jc w:val="both"/>
              <w:rPr>
                <w:sz w:val="20"/>
                <w:szCs w:val="20"/>
                <w:shd w:val="clear" w:color="auto" w:fill="FFFFFF"/>
              </w:rPr>
            </w:pPr>
            <w:r w:rsidRPr="00A676A6">
              <w:rPr>
                <w:sz w:val="20"/>
                <w:szCs w:val="20"/>
                <w:shd w:val="clear" w:color="auto" w:fill="FFFFFF"/>
              </w:rPr>
              <w:t xml:space="preserve">The prison and jail population in the United States has increased from 300,000 in 1972 to </w:t>
            </w:r>
            <w:r w:rsidR="002A16CC">
              <w:rPr>
                <w:sz w:val="20"/>
                <w:szCs w:val="20"/>
                <w:shd w:val="clear" w:color="auto" w:fill="FFFFFF"/>
              </w:rPr>
              <w:t>1.8</w:t>
            </w:r>
            <w:r w:rsidRPr="00A676A6">
              <w:rPr>
                <w:sz w:val="20"/>
                <w:szCs w:val="20"/>
                <w:shd w:val="clear" w:color="auto" w:fill="FFFFFF"/>
              </w:rPr>
              <w:t xml:space="preserve"> million today</w:t>
            </w:r>
            <w:r w:rsidR="002A16CC">
              <w:rPr>
                <w:sz w:val="20"/>
                <w:szCs w:val="20"/>
                <w:shd w:val="clear" w:color="auto" w:fill="FFFFFF"/>
              </w:rPr>
              <w:t xml:space="preserve"> (2021)</w:t>
            </w:r>
            <w:r w:rsidRPr="00A676A6">
              <w:rPr>
                <w:sz w:val="20"/>
                <w:szCs w:val="20"/>
                <w:shd w:val="clear" w:color="auto" w:fill="FFFFFF"/>
              </w:rPr>
              <w:t>. African Americans are incarcerated at an increasingly disproportionate rate. In America, one out of every three black men born in 2001 will go to jail or prison if current trends continue. Black men are more than six times more likely to be incarcerated than white men.</w:t>
            </w:r>
            <w:r w:rsidR="007E7F92">
              <w:rPr>
                <w:sz w:val="20"/>
                <w:szCs w:val="20"/>
                <w:shd w:val="clear" w:color="auto" w:fill="FFFFFF"/>
              </w:rPr>
              <w:t xml:space="preserve"> </w:t>
            </w:r>
          </w:p>
          <w:p w14:paraId="7B39B29F" w14:textId="77777777" w:rsidR="007E7F92" w:rsidRDefault="007E7F92" w:rsidP="00CC08FE">
            <w:pPr>
              <w:jc w:val="both"/>
              <w:rPr>
                <w:sz w:val="20"/>
                <w:szCs w:val="20"/>
                <w:shd w:val="clear" w:color="auto" w:fill="FFFFFF"/>
              </w:rPr>
            </w:pPr>
          </w:p>
          <w:p w14:paraId="6F866D41" w14:textId="6A0685B9" w:rsidR="007E7F92" w:rsidRPr="00A676A6" w:rsidRDefault="007E7F92" w:rsidP="00CC08FE">
            <w:pPr>
              <w:jc w:val="both"/>
              <w:rPr>
                <w:sz w:val="20"/>
                <w:szCs w:val="20"/>
              </w:rPr>
            </w:pPr>
            <w:r>
              <w:rPr>
                <w:sz w:val="20"/>
                <w:szCs w:val="20"/>
                <w:shd w:val="clear" w:color="auto" w:fill="FFFFFF"/>
              </w:rPr>
              <w:t xml:space="preserve">Discuss </w:t>
            </w:r>
            <w:r w:rsidR="00562B11">
              <w:rPr>
                <w:sz w:val="20"/>
                <w:szCs w:val="20"/>
                <w:shd w:val="clear" w:color="auto" w:fill="FFFFFF"/>
              </w:rPr>
              <w:t>Mentee</w:t>
            </w:r>
            <w:r>
              <w:rPr>
                <w:sz w:val="20"/>
                <w:szCs w:val="20"/>
                <w:shd w:val="clear" w:color="auto" w:fill="FFFFFF"/>
              </w:rPr>
              <w:t>’s role as public interest attorney in addressing the sentencing bias in this country and improving access to alternative punitive sanctions, especially as it pertains to low</w:t>
            </w:r>
            <w:r w:rsidR="005B7DBC">
              <w:rPr>
                <w:sz w:val="20"/>
                <w:szCs w:val="20"/>
                <w:shd w:val="clear" w:color="auto" w:fill="FFFFFF"/>
              </w:rPr>
              <w:t>-</w:t>
            </w:r>
            <w:r>
              <w:rPr>
                <w:sz w:val="20"/>
                <w:szCs w:val="20"/>
                <w:shd w:val="clear" w:color="auto" w:fill="FFFFFF"/>
              </w:rPr>
              <w:t>level, non-violent crimes.</w:t>
            </w:r>
          </w:p>
        </w:tc>
        <w:tc>
          <w:tcPr>
            <w:tcW w:w="1921" w:type="dxa"/>
            <w:vAlign w:val="center"/>
          </w:tcPr>
          <w:p w14:paraId="131A3B3F" w14:textId="77777777" w:rsidR="001323FB" w:rsidRPr="00C26210" w:rsidRDefault="001323FB" w:rsidP="00195EF4">
            <w:pPr>
              <w:pStyle w:val="ListParagraph"/>
              <w:ind w:left="0"/>
              <w:jc w:val="center"/>
              <w:rPr>
                <w:sz w:val="20"/>
                <w:szCs w:val="20"/>
              </w:rPr>
            </w:pPr>
          </w:p>
        </w:tc>
      </w:tr>
      <w:tr w:rsidR="001323FB" w:rsidRPr="00C26210" w14:paraId="7462E7A9" w14:textId="77777777" w:rsidTr="00BE09D7">
        <w:trPr>
          <w:jc w:val="center"/>
        </w:trPr>
        <w:tc>
          <w:tcPr>
            <w:tcW w:w="7227" w:type="dxa"/>
            <w:tcMar>
              <w:top w:w="43" w:type="dxa"/>
              <w:left w:w="115" w:type="dxa"/>
              <w:bottom w:w="43" w:type="dxa"/>
              <w:right w:w="115" w:type="dxa"/>
            </w:tcMar>
          </w:tcPr>
          <w:p w14:paraId="1D54AC15" w14:textId="77777777" w:rsidR="001323FB" w:rsidRDefault="00A676A6" w:rsidP="00CC08FE">
            <w:pPr>
              <w:jc w:val="both"/>
              <w:rPr>
                <w:b/>
                <w:sz w:val="20"/>
                <w:szCs w:val="20"/>
              </w:rPr>
            </w:pPr>
            <w:r w:rsidRPr="00A676A6">
              <w:rPr>
                <w:b/>
                <w:sz w:val="20"/>
                <w:szCs w:val="20"/>
              </w:rPr>
              <w:t>CLIENT ENGAGEMENT STRATEGIES</w:t>
            </w:r>
          </w:p>
          <w:p w14:paraId="545A551B" w14:textId="77777777" w:rsidR="00A676A6" w:rsidRDefault="00905C35" w:rsidP="00CC08FE">
            <w:pPr>
              <w:jc w:val="both"/>
              <w:rPr>
                <w:sz w:val="20"/>
                <w:szCs w:val="20"/>
              </w:rPr>
            </w:pPr>
            <w:r w:rsidRPr="007E7F92">
              <w:rPr>
                <w:sz w:val="20"/>
                <w:szCs w:val="20"/>
              </w:rPr>
              <w:t>I</w:t>
            </w:r>
            <w:r w:rsidR="00A676A6" w:rsidRPr="007E7F92">
              <w:rPr>
                <w:sz w:val="20"/>
                <w:szCs w:val="20"/>
              </w:rPr>
              <w:t xml:space="preserve">ncreasing the utilization of adequate, accessible, and low-cost services to ethnic groups is the goal of most </w:t>
            </w:r>
            <w:r w:rsidRPr="007E7F92">
              <w:rPr>
                <w:sz w:val="20"/>
                <w:szCs w:val="20"/>
              </w:rPr>
              <w:t>public interest legal organizations</w:t>
            </w:r>
            <w:r w:rsidR="00A676A6" w:rsidRPr="007E7F92">
              <w:rPr>
                <w:sz w:val="20"/>
                <w:szCs w:val="20"/>
              </w:rPr>
              <w:t>.</w:t>
            </w:r>
          </w:p>
          <w:p w14:paraId="287FBE7B" w14:textId="77777777" w:rsidR="007E7F92" w:rsidRPr="007E7F92" w:rsidRDefault="007E7F92" w:rsidP="00CC08FE">
            <w:pPr>
              <w:jc w:val="both"/>
              <w:rPr>
                <w:sz w:val="20"/>
                <w:szCs w:val="20"/>
              </w:rPr>
            </w:pPr>
          </w:p>
          <w:p w14:paraId="47BB4E13" w14:textId="2CB14565" w:rsidR="00A676A6" w:rsidRPr="007E7F92" w:rsidRDefault="00A676A6" w:rsidP="00CC08FE">
            <w:pPr>
              <w:jc w:val="both"/>
              <w:rPr>
                <w:sz w:val="20"/>
                <w:szCs w:val="20"/>
              </w:rPr>
            </w:pPr>
            <w:r w:rsidRPr="007E7F92">
              <w:rPr>
                <w:sz w:val="20"/>
                <w:szCs w:val="20"/>
              </w:rPr>
              <w:t>The literature identifies two major strategies to promote client engagement: 1) client</w:t>
            </w:r>
            <w:r w:rsidR="000407B4">
              <w:rPr>
                <w:sz w:val="20"/>
                <w:szCs w:val="20"/>
              </w:rPr>
              <w:t>-</w:t>
            </w:r>
            <w:r w:rsidRPr="007E7F92">
              <w:rPr>
                <w:sz w:val="20"/>
                <w:szCs w:val="20"/>
              </w:rPr>
              <w:t>focused strategies and 2) organization-focused strategies. Client-focused strategies are services that staff provide to better assist clients and encourage them to participate. These strategies include ethnic matching of staff and clients, family-focused services, and outreach services. Organization</w:t>
            </w:r>
            <w:r w:rsidR="000407B4">
              <w:rPr>
                <w:sz w:val="20"/>
                <w:szCs w:val="20"/>
              </w:rPr>
              <w:t>-focused</w:t>
            </w:r>
            <w:r w:rsidRPr="007E7F92">
              <w:rPr>
                <w:sz w:val="20"/>
                <w:szCs w:val="20"/>
              </w:rPr>
              <w:t xml:space="preserve"> strategies are administrative strategies that organizations implement to increase engagement. Organization</w:t>
            </w:r>
            <w:r w:rsidR="000407B4">
              <w:rPr>
                <w:sz w:val="20"/>
                <w:szCs w:val="20"/>
              </w:rPr>
              <w:t>-focused</w:t>
            </w:r>
            <w:r w:rsidRPr="007E7F92">
              <w:rPr>
                <w:sz w:val="20"/>
                <w:szCs w:val="20"/>
              </w:rPr>
              <w:t xml:space="preserve"> strategies used by ethnic organizations include locating the organization in existing ethnic communities, recruiting former clients to serve on agency Boards of Directors, and recruiting staff to provide appropriate, competent, and reliable services.</w:t>
            </w:r>
          </w:p>
          <w:p w14:paraId="7ED69312" w14:textId="6AE6BB12" w:rsidR="007E7F92" w:rsidRPr="00A676A6" w:rsidRDefault="00905C35">
            <w:pPr>
              <w:jc w:val="both"/>
              <w:rPr>
                <w:b/>
                <w:sz w:val="20"/>
                <w:szCs w:val="20"/>
              </w:rPr>
            </w:pPr>
            <w:r w:rsidRPr="007E7F92">
              <w:rPr>
                <w:sz w:val="20"/>
                <w:szCs w:val="20"/>
              </w:rPr>
              <w:lastRenderedPageBreak/>
              <w:t xml:space="preserve">Discuss the ways in which </w:t>
            </w:r>
            <w:r w:rsidR="00562B11">
              <w:rPr>
                <w:sz w:val="20"/>
                <w:szCs w:val="20"/>
              </w:rPr>
              <w:t>Mentee</w:t>
            </w:r>
            <w:r w:rsidRPr="007E7F92">
              <w:rPr>
                <w:sz w:val="20"/>
                <w:szCs w:val="20"/>
              </w:rPr>
              <w:t xml:space="preserve"> can contribute to the client</w:t>
            </w:r>
            <w:r w:rsidR="00C570E0">
              <w:rPr>
                <w:sz w:val="20"/>
                <w:szCs w:val="20"/>
              </w:rPr>
              <w:t>-</w:t>
            </w:r>
            <w:r w:rsidRPr="007E7F92">
              <w:rPr>
                <w:sz w:val="20"/>
                <w:szCs w:val="20"/>
              </w:rPr>
              <w:t>focused and organization</w:t>
            </w:r>
            <w:r w:rsidR="00C570E0">
              <w:rPr>
                <w:sz w:val="20"/>
                <w:szCs w:val="20"/>
              </w:rPr>
              <w:t>-</w:t>
            </w:r>
            <w:r w:rsidRPr="007E7F92">
              <w:rPr>
                <w:sz w:val="20"/>
                <w:szCs w:val="20"/>
              </w:rPr>
              <w:t xml:space="preserve">focused </w:t>
            </w:r>
            <w:r w:rsidR="007E7F92" w:rsidRPr="007E7F92">
              <w:rPr>
                <w:sz w:val="20"/>
                <w:szCs w:val="20"/>
              </w:rPr>
              <w:t xml:space="preserve">strategies to improvement engagement in legal services for ethnic and minority populations. </w:t>
            </w:r>
          </w:p>
        </w:tc>
        <w:tc>
          <w:tcPr>
            <w:tcW w:w="1921" w:type="dxa"/>
            <w:vAlign w:val="center"/>
          </w:tcPr>
          <w:p w14:paraId="08D527C2" w14:textId="77777777" w:rsidR="001323FB" w:rsidRPr="00C26210" w:rsidRDefault="001323FB" w:rsidP="00195EF4">
            <w:pPr>
              <w:pStyle w:val="ListParagraph"/>
              <w:ind w:left="0"/>
              <w:jc w:val="center"/>
              <w:rPr>
                <w:sz w:val="20"/>
                <w:szCs w:val="20"/>
              </w:rPr>
            </w:pPr>
          </w:p>
        </w:tc>
      </w:tr>
    </w:tbl>
    <w:p w14:paraId="115E225A" w14:textId="77777777" w:rsidR="001323FB" w:rsidRDefault="001323FB" w:rsidP="001323FB">
      <w:pPr>
        <w:pStyle w:val="ListParagraph"/>
        <w:rPr>
          <w:sz w:val="20"/>
          <w:szCs w:val="20"/>
        </w:rPr>
      </w:pPr>
    </w:p>
    <w:p w14:paraId="63589628"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t>When Your Client is a Special Interest Group</w:t>
      </w:r>
      <w:r w:rsidR="001323FB" w:rsidRPr="00C26210">
        <w:rPr>
          <w:b/>
          <w:sz w:val="20"/>
          <w:szCs w:val="20"/>
        </w:rPr>
        <w:t xml:space="preserve"> (Complete at least </w:t>
      </w:r>
      <w:r w:rsidR="00D2670C">
        <w:rPr>
          <w:b/>
          <w:sz w:val="20"/>
          <w:szCs w:val="20"/>
        </w:rPr>
        <w:t>two</w:t>
      </w:r>
      <w:r w:rsidR="001323FB" w:rsidRPr="00C26210">
        <w:rPr>
          <w:b/>
          <w:sz w:val="20"/>
          <w:szCs w:val="20"/>
        </w:rPr>
        <w:t>)</w:t>
      </w:r>
    </w:p>
    <w:p w14:paraId="588576F7" w14:textId="77777777" w:rsidR="001323FB" w:rsidRPr="00C26210" w:rsidRDefault="001323FB" w:rsidP="001323FB">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1323FB" w:rsidRPr="00C26210" w14:paraId="7B3B6BA8" w14:textId="77777777" w:rsidTr="00195EF4">
        <w:trPr>
          <w:cantSplit/>
          <w:jc w:val="center"/>
        </w:trPr>
        <w:tc>
          <w:tcPr>
            <w:tcW w:w="7340" w:type="dxa"/>
            <w:vAlign w:val="center"/>
          </w:tcPr>
          <w:p w14:paraId="1331B3EE"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3" w:type="dxa"/>
            <w:vAlign w:val="center"/>
          </w:tcPr>
          <w:p w14:paraId="74D06EE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573C652" w14:textId="77777777" w:rsidTr="00195EF4">
        <w:trPr>
          <w:cantSplit/>
          <w:jc w:val="center"/>
        </w:trPr>
        <w:tc>
          <w:tcPr>
            <w:tcW w:w="7340" w:type="dxa"/>
            <w:tcMar>
              <w:top w:w="43" w:type="dxa"/>
              <w:left w:w="115" w:type="dxa"/>
              <w:bottom w:w="43" w:type="dxa"/>
              <w:right w:w="115" w:type="dxa"/>
            </w:tcMar>
            <w:vAlign w:val="center"/>
          </w:tcPr>
          <w:p w14:paraId="319E00D8" w14:textId="77777777" w:rsidR="00D2670C" w:rsidRPr="00D2670C" w:rsidRDefault="00D2670C" w:rsidP="00CC08FE">
            <w:pPr>
              <w:jc w:val="both"/>
              <w:rPr>
                <w:b/>
                <w:color w:val="000000"/>
                <w:sz w:val="20"/>
                <w:szCs w:val="20"/>
                <w:shd w:val="clear" w:color="auto" w:fill="FCFCFC"/>
              </w:rPr>
            </w:pPr>
            <w:r w:rsidRPr="00D2670C">
              <w:rPr>
                <w:b/>
                <w:color w:val="000000"/>
                <w:sz w:val="20"/>
                <w:szCs w:val="20"/>
                <w:shd w:val="clear" w:color="auto" w:fill="FCFCFC"/>
              </w:rPr>
              <w:t>LOBBYING</w:t>
            </w:r>
          </w:p>
          <w:p w14:paraId="15933F34"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 xml:space="preserve">When people think about lobbying, they often imagine corruption and poor policy results. Lobbying does not always have such deleterious effects. But sometimes it does. According to critics, lobbying can lead to poor policymaking because legislators do not consider policies based on their merits but instead based on their political repercussions. </w:t>
            </w:r>
          </w:p>
          <w:p w14:paraId="4CEC7479" w14:textId="77777777" w:rsidR="00D2670C" w:rsidRDefault="00D2670C" w:rsidP="00CC08FE">
            <w:pPr>
              <w:jc w:val="both"/>
              <w:rPr>
                <w:color w:val="000000"/>
                <w:sz w:val="20"/>
                <w:szCs w:val="20"/>
                <w:shd w:val="clear" w:color="auto" w:fill="FCFCFC"/>
              </w:rPr>
            </w:pPr>
          </w:p>
          <w:p w14:paraId="263D23D8"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For example, food industry lobbyists and healthcare lobbyists recently clashed over the issue of school lunches. A</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group</w:t>
            </w:r>
            <w:r w:rsidRPr="00D2670C">
              <w:rPr>
                <w:rStyle w:val="apple-converted-space"/>
                <w:color w:val="000000"/>
                <w:sz w:val="20"/>
                <w:szCs w:val="20"/>
                <w:shd w:val="clear" w:color="auto" w:fill="FCFCFC"/>
              </w:rPr>
              <w:t> </w:t>
            </w:r>
            <w:r w:rsidRPr="00D2670C">
              <w:rPr>
                <w:color w:val="000000"/>
                <w:sz w:val="20"/>
                <w:szCs w:val="20"/>
                <w:shd w:val="clear" w:color="auto" w:fill="FCFCFC"/>
              </w:rPr>
              <w:t>supported by the United States Department of</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Agriculture</w:t>
            </w:r>
            <w:r w:rsidRPr="00D2670C">
              <w:rPr>
                <w:rStyle w:val="apple-converted-space"/>
                <w:color w:val="000000"/>
                <w:sz w:val="20"/>
                <w:szCs w:val="20"/>
                <w:shd w:val="clear" w:color="auto" w:fill="FCFCFC"/>
              </w:rPr>
              <w:t> </w:t>
            </w:r>
            <w:r w:rsidRPr="00D2670C">
              <w:rPr>
                <w:color w:val="000000"/>
                <w:sz w:val="20"/>
                <w:szCs w:val="20"/>
                <w:shd w:val="clear" w:color="auto" w:fill="FCFCFC"/>
              </w:rPr>
              <w:t>proposed healthier lunches as a way to combat childhood obesity by limiting the number of potatoes served, limiting salty foods, and adding</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more</w:t>
            </w:r>
            <w:r w:rsidRPr="00D2670C">
              <w:rPr>
                <w:rStyle w:val="apple-converted-space"/>
                <w:color w:val="000000"/>
                <w:sz w:val="20"/>
                <w:szCs w:val="20"/>
                <w:shd w:val="clear" w:color="auto" w:fill="FCFCFC"/>
              </w:rPr>
              <w:t> </w:t>
            </w:r>
            <w:r w:rsidRPr="00D2670C">
              <w:rPr>
                <w:color w:val="000000"/>
                <w:sz w:val="20"/>
                <w:szCs w:val="20"/>
                <w:shd w:val="clear" w:color="auto" w:fill="FCFCFC"/>
              </w:rPr>
              <w:t>fresh vegetables. This group was countered by a strong food lobby backed by Coca-Cola, Del Monte, and makers of frozen pizza. The food lobbyists succeeded in blocking the proposed reforms, even writing rules suggesting that the tomato paste on a pizza qualified as a vegetable. According to critics, this case appeared to be an example where business interests won out over health concerns.</w:t>
            </w:r>
          </w:p>
          <w:p w14:paraId="1294DFCD" w14:textId="77777777" w:rsidR="00D2670C" w:rsidRDefault="00D2670C" w:rsidP="00CC08FE">
            <w:pPr>
              <w:jc w:val="both"/>
              <w:rPr>
                <w:color w:val="000000"/>
                <w:sz w:val="20"/>
                <w:szCs w:val="20"/>
                <w:shd w:val="clear" w:color="auto" w:fill="FCFCFC"/>
              </w:rPr>
            </w:pPr>
          </w:p>
          <w:p w14:paraId="745A7623" w14:textId="27C91BFD" w:rsidR="001323FB" w:rsidRPr="00D2670C" w:rsidRDefault="00D2670C">
            <w:pPr>
              <w:jc w:val="both"/>
              <w:rPr>
                <w:color w:val="000000"/>
                <w:sz w:val="20"/>
                <w:szCs w:val="20"/>
                <w:shd w:val="clear" w:color="auto" w:fill="FCFCFC"/>
              </w:rPr>
            </w:pPr>
            <w:r>
              <w:rPr>
                <w:color w:val="000000"/>
                <w:sz w:val="20"/>
                <w:szCs w:val="20"/>
                <w:shd w:val="clear" w:color="auto" w:fill="FCFCFC"/>
              </w:rPr>
              <w:t xml:space="preserve">Discuss how </w:t>
            </w:r>
            <w:r w:rsidR="00562B11">
              <w:rPr>
                <w:color w:val="000000"/>
                <w:sz w:val="20"/>
                <w:szCs w:val="20"/>
                <w:shd w:val="clear" w:color="auto" w:fill="FCFCFC"/>
              </w:rPr>
              <w:t>Mentee</w:t>
            </w:r>
            <w:r>
              <w:rPr>
                <w:color w:val="000000"/>
                <w:sz w:val="20"/>
                <w:szCs w:val="20"/>
                <w:shd w:val="clear" w:color="auto" w:fill="FCFCFC"/>
              </w:rPr>
              <w:t xml:space="preserve"> will help to balance the interests and positions of the client with their own moral and ethical positions. How does </w:t>
            </w:r>
            <w:r w:rsidR="00562B11">
              <w:rPr>
                <w:color w:val="000000"/>
                <w:sz w:val="20"/>
                <w:szCs w:val="20"/>
                <w:shd w:val="clear" w:color="auto" w:fill="FCFCFC"/>
              </w:rPr>
              <w:t>Mentee</w:t>
            </w:r>
            <w:r>
              <w:rPr>
                <w:color w:val="000000"/>
                <w:sz w:val="20"/>
                <w:szCs w:val="20"/>
                <w:shd w:val="clear" w:color="auto" w:fill="FCFCFC"/>
              </w:rPr>
              <w:t xml:space="preserve">’s professional identity </w:t>
            </w:r>
            <w:r w:rsidR="00991333">
              <w:rPr>
                <w:color w:val="000000"/>
                <w:sz w:val="20"/>
                <w:szCs w:val="20"/>
                <w:shd w:val="clear" w:color="auto" w:fill="FCFCFC"/>
              </w:rPr>
              <w:t xml:space="preserve">inform their ability to </w:t>
            </w:r>
            <w:r w:rsidR="00A129AF">
              <w:rPr>
                <w:color w:val="000000"/>
                <w:sz w:val="20"/>
                <w:szCs w:val="20"/>
                <w:shd w:val="clear" w:color="auto" w:fill="FCFCFC"/>
              </w:rPr>
              <w:t xml:space="preserve">manage society’s negative impression of lobbyists and the work they do. </w:t>
            </w:r>
          </w:p>
        </w:tc>
        <w:tc>
          <w:tcPr>
            <w:tcW w:w="1803" w:type="dxa"/>
            <w:vAlign w:val="center"/>
          </w:tcPr>
          <w:p w14:paraId="4D732589" w14:textId="77777777" w:rsidR="001323FB" w:rsidRPr="00C26210" w:rsidRDefault="001323FB" w:rsidP="00195EF4">
            <w:pPr>
              <w:pStyle w:val="ListParagraph"/>
              <w:ind w:left="0"/>
              <w:jc w:val="center"/>
              <w:rPr>
                <w:sz w:val="20"/>
                <w:szCs w:val="20"/>
              </w:rPr>
            </w:pPr>
          </w:p>
        </w:tc>
      </w:tr>
      <w:tr w:rsidR="001323FB" w:rsidRPr="00C26210" w14:paraId="00160B8C" w14:textId="77777777" w:rsidTr="00195EF4">
        <w:trPr>
          <w:cantSplit/>
          <w:jc w:val="center"/>
        </w:trPr>
        <w:tc>
          <w:tcPr>
            <w:tcW w:w="7340" w:type="dxa"/>
            <w:tcMar>
              <w:top w:w="43" w:type="dxa"/>
              <w:left w:w="115" w:type="dxa"/>
              <w:bottom w:w="43" w:type="dxa"/>
              <w:right w:w="115" w:type="dxa"/>
            </w:tcMar>
            <w:vAlign w:val="center"/>
          </w:tcPr>
          <w:p w14:paraId="558C118D" w14:textId="77777777" w:rsidR="001323FB" w:rsidRPr="00105C37" w:rsidRDefault="007366FE" w:rsidP="00CC08FE">
            <w:pPr>
              <w:jc w:val="both"/>
              <w:rPr>
                <w:b/>
                <w:sz w:val="20"/>
                <w:szCs w:val="20"/>
              </w:rPr>
            </w:pPr>
            <w:r w:rsidRPr="00105C37">
              <w:rPr>
                <w:b/>
                <w:sz w:val="20"/>
                <w:szCs w:val="20"/>
              </w:rPr>
              <w:t>REVOLVING DOOR</w:t>
            </w:r>
          </w:p>
          <w:p w14:paraId="798A3F49" w14:textId="77777777" w:rsidR="007366FE" w:rsidRPr="009E588E" w:rsidRDefault="00105C37" w:rsidP="00CC08FE">
            <w:pPr>
              <w:jc w:val="both"/>
              <w:rPr>
                <w:color w:val="333333"/>
                <w:sz w:val="20"/>
                <w:szCs w:val="20"/>
                <w:shd w:val="clear" w:color="auto" w:fill="FFFFFF"/>
              </w:rPr>
            </w:pPr>
            <w:r w:rsidRPr="00105C37">
              <w:rPr>
                <w:color w:val="333333"/>
                <w:sz w:val="20"/>
                <w:szCs w:val="20"/>
                <w:shd w:val="clear" w:color="auto" w:fill="FFFFFF"/>
              </w:rPr>
              <w:t xml:space="preserve">Some say there is a “revolving door” between special interest groups, lobbyists, and government employees which allows special interest groups to get new regulations implemented by filing suit against a government agency. The government agency then </w:t>
            </w:r>
            <w:r w:rsidR="007366FE" w:rsidRPr="00105C37">
              <w:rPr>
                <w:color w:val="333333"/>
                <w:sz w:val="20"/>
                <w:szCs w:val="20"/>
                <w:shd w:val="clear" w:color="auto" w:fill="FFFFFF"/>
              </w:rPr>
              <w:t xml:space="preserve">opts not to fight the case and simply settles </w:t>
            </w:r>
            <w:r w:rsidRPr="00105C37">
              <w:rPr>
                <w:color w:val="333333"/>
                <w:sz w:val="20"/>
                <w:szCs w:val="20"/>
                <w:shd w:val="clear" w:color="auto" w:fill="FFFFFF"/>
              </w:rPr>
              <w:t>— thereby</w:t>
            </w:r>
            <w:r w:rsidR="007366FE" w:rsidRPr="00105C37">
              <w:rPr>
                <w:color w:val="333333"/>
                <w:sz w:val="20"/>
                <w:szCs w:val="20"/>
                <w:shd w:val="clear" w:color="auto" w:fill="FFFFFF"/>
              </w:rPr>
              <w:t xml:space="preserve"> letting the rule be enacted, outside the normal governmental scrutiny that would otherwise be required.</w:t>
            </w:r>
            <w:r w:rsidRPr="00105C37">
              <w:rPr>
                <w:color w:val="333333"/>
                <w:sz w:val="20"/>
                <w:szCs w:val="20"/>
                <w:shd w:val="clear" w:color="auto" w:fill="FFFFFF"/>
              </w:rPr>
              <w:t xml:space="preserve"> Discuss the “revolving door” perception and how the existence of a revolving door in public interest work impacts the development of professional identity for public interest lawyers. Also discuss the ethics of using litigation to create new regulations vs obtaining regulation through legislative initiatives. </w:t>
            </w:r>
          </w:p>
        </w:tc>
        <w:tc>
          <w:tcPr>
            <w:tcW w:w="1803" w:type="dxa"/>
            <w:vAlign w:val="center"/>
          </w:tcPr>
          <w:p w14:paraId="47AAD765" w14:textId="77777777" w:rsidR="001323FB" w:rsidRPr="00C26210" w:rsidRDefault="001323FB" w:rsidP="00195EF4">
            <w:pPr>
              <w:pStyle w:val="ListParagraph"/>
              <w:ind w:left="0"/>
              <w:jc w:val="center"/>
              <w:rPr>
                <w:sz w:val="20"/>
                <w:szCs w:val="20"/>
              </w:rPr>
            </w:pPr>
          </w:p>
        </w:tc>
      </w:tr>
      <w:tr w:rsidR="001323FB" w:rsidRPr="00C26210" w14:paraId="6859CA27" w14:textId="77777777" w:rsidTr="00195EF4">
        <w:trPr>
          <w:cantSplit/>
          <w:jc w:val="center"/>
        </w:trPr>
        <w:tc>
          <w:tcPr>
            <w:tcW w:w="7340" w:type="dxa"/>
            <w:tcMar>
              <w:top w:w="43" w:type="dxa"/>
              <w:left w:w="115" w:type="dxa"/>
              <w:bottom w:w="43" w:type="dxa"/>
              <w:right w:w="115" w:type="dxa"/>
            </w:tcMar>
            <w:vAlign w:val="center"/>
          </w:tcPr>
          <w:p w14:paraId="68C5A2C5" w14:textId="77777777" w:rsidR="001323FB" w:rsidRPr="001024A1" w:rsidRDefault="00056C3D" w:rsidP="00CC08FE">
            <w:pPr>
              <w:jc w:val="both"/>
              <w:rPr>
                <w:b/>
                <w:sz w:val="20"/>
                <w:szCs w:val="20"/>
              </w:rPr>
            </w:pPr>
            <w:r w:rsidRPr="001024A1">
              <w:rPr>
                <w:b/>
                <w:sz w:val="20"/>
                <w:szCs w:val="20"/>
              </w:rPr>
              <w:t>THE ROLE OF SPECIAL INTEREST LAWYERS</w:t>
            </w:r>
          </w:p>
          <w:p w14:paraId="01024028" w14:textId="77777777" w:rsidR="00056C3D" w:rsidRPr="00C26210" w:rsidRDefault="009E588E" w:rsidP="00CC08FE">
            <w:pPr>
              <w:jc w:val="both"/>
              <w:rPr>
                <w:sz w:val="20"/>
                <w:szCs w:val="20"/>
              </w:rPr>
            </w:pPr>
            <w:r>
              <w:rPr>
                <w:sz w:val="20"/>
                <w:szCs w:val="20"/>
                <w:shd w:val="clear" w:color="auto" w:fill="FFFFFF"/>
              </w:rPr>
              <w:t xml:space="preserve">Many special interest groups see their role as not only </w:t>
            </w:r>
            <w:r w:rsidR="00056C3D" w:rsidRPr="001024A1">
              <w:rPr>
                <w:sz w:val="20"/>
                <w:szCs w:val="20"/>
                <w:shd w:val="clear" w:color="auto" w:fill="FFFFFF"/>
              </w:rPr>
              <w:t>defend</w:t>
            </w:r>
            <w:r>
              <w:rPr>
                <w:sz w:val="20"/>
                <w:szCs w:val="20"/>
                <w:shd w:val="clear" w:color="auto" w:fill="FFFFFF"/>
              </w:rPr>
              <w:t>ing</w:t>
            </w:r>
            <w:r w:rsidR="00056C3D" w:rsidRPr="001024A1">
              <w:rPr>
                <w:sz w:val="20"/>
                <w:szCs w:val="20"/>
                <w:shd w:val="clear" w:color="auto" w:fill="FFFFFF"/>
              </w:rPr>
              <w:t xml:space="preserve"> the interests of their members, but also to protect the public interests in such things as a clean environment and a non-discriminatory workplace. </w:t>
            </w:r>
            <w:r w:rsidR="001024A1">
              <w:rPr>
                <w:sz w:val="20"/>
                <w:szCs w:val="20"/>
                <w:shd w:val="clear" w:color="auto" w:fill="FFFFFF"/>
              </w:rPr>
              <w:t xml:space="preserve">How does the special interest attorney balance the interest of the organizational members with the interest of the public at large? Are the two mutually exclusive? </w:t>
            </w:r>
            <w:r>
              <w:rPr>
                <w:sz w:val="20"/>
                <w:szCs w:val="20"/>
                <w:shd w:val="clear" w:color="auto" w:fill="FFFFFF"/>
              </w:rPr>
              <w:t xml:space="preserve">How does the answer to the question “whose interest are you representing” impact your ethical duties and your professional identity? </w:t>
            </w:r>
          </w:p>
        </w:tc>
        <w:tc>
          <w:tcPr>
            <w:tcW w:w="1803" w:type="dxa"/>
            <w:vAlign w:val="center"/>
          </w:tcPr>
          <w:p w14:paraId="4E63DE73" w14:textId="77777777" w:rsidR="001323FB" w:rsidRPr="00C26210" w:rsidRDefault="001323FB" w:rsidP="00195EF4">
            <w:pPr>
              <w:pStyle w:val="ListParagraph"/>
              <w:ind w:left="0"/>
              <w:jc w:val="center"/>
              <w:rPr>
                <w:sz w:val="20"/>
                <w:szCs w:val="20"/>
              </w:rPr>
            </w:pPr>
          </w:p>
        </w:tc>
      </w:tr>
      <w:tr w:rsidR="00A4169E" w:rsidRPr="00C26210" w14:paraId="7D52314C" w14:textId="77777777" w:rsidTr="00195EF4">
        <w:trPr>
          <w:cantSplit/>
          <w:jc w:val="center"/>
        </w:trPr>
        <w:tc>
          <w:tcPr>
            <w:tcW w:w="7340" w:type="dxa"/>
            <w:tcMar>
              <w:top w:w="43" w:type="dxa"/>
              <w:left w:w="115" w:type="dxa"/>
              <w:bottom w:w="43" w:type="dxa"/>
              <w:right w:w="115" w:type="dxa"/>
            </w:tcMar>
            <w:vAlign w:val="center"/>
          </w:tcPr>
          <w:p w14:paraId="57AD2072" w14:textId="77777777" w:rsidR="00A4169E" w:rsidRDefault="00A4169E" w:rsidP="00CC08FE">
            <w:pPr>
              <w:jc w:val="both"/>
              <w:rPr>
                <w:b/>
                <w:sz w:val="20"/>
                <w:szCs w:val="20"/>
              </w:rPr>
            </w:pPr>
            <w:r>
              <w:rPr>
                <w:b/>
                <w:sz w:val="20"/>
                <w:szCs w:val="20"/>
              </w:rPr>
              <w:t xml:space="preserve">ATTORNEY FEE </w:t>
            </w:r>
            <w:r w:rsidR="004130B9">
              <w:rPr>
                <w:b/>
                <w:sz w:val="20"/>
                <w:szCs w:val="20"/>
              </w:rPr>
              <w:t>SHARING</w:t>
            </w:r>
          </w:p>
          <w:p w14:paraId="27C28CEF" w14:textId="77777777" w:rsidR="009E588E" w:rsidRPr="009E588E" w:rsidRDefault="009E588E" w:rsidP="00CC08FE">
            <w:pPr>
              <w:jc w:val="both"/>
              <w:rPr>
                <w:b/>
                <w:sz w:val="20"/>
                <w:szCs w:val="20"/>
              </w:rPr>
            </w:pPr>
            <w:r w:rsidRPr="009E588E">
              <w:rPr>
                <w:sz w:val="20"/>
                <w:szCs w:val="20"/>
                <w:shd w:val="clear" w:color="auto" w:fill="FFFFFF"/>
              </w:rPr>
              <w:t xml:space="preserve">Attorney fees awarded to prevailing plaintiffs by statute are a significant source of funding for nonprofit </w:t>
            </w:r>
            <w:r>
              <w:rPr>
                <w:sz w:val="20"/>
                <w:szCs w:val="20"/>
                <w:shd w:val="clear" w:color="auto" w:fill="FFFFFF"/>
              </w:rPr>
              <w:t>special</w:t>
            </w:r>
            <w:r w:rsidRPr="009E588E">
              <w:rPr>
                <w:sz w:val="20"/>
                <w:szCs w:val="20"/>
                <w:shd w:val="clear" w:color="auto" w:fill="FFFFFF"/>
              </w:rPr>
              <w:t xml:space="preserve"> interest groups that sponsor litigation. Nearly all such organizations require staff attorneys to turn over all court-awarded fees to the organization, and many organizations require cooperating attorneys to turn over all or part of any fees resulting from cases sponsored by the organizations. </w:t>
            </w:r>
            <w:r w:rsidR="00083090">
              <w:rPr>
                <w:rStyle w:val="apple-converted-space"/>
                <w:sz w:val="20"/>
                <w:szCs w:val="20"/>
                <w:shd w:val="clear" w:color="auto" w:fill="FFFFFF"/>
              </w:rPr>
              <w:t xml:space="preserve">Discuss the </w:t>
            </w:r>
            <w:r w:rsidR="004130B9">
              <w:rPr>
                <w:rStyle w:val="apple-converted-space"/>
                <w:sz w:val="20"/>
                <w:szCs w:val="20"/>
                <w:shd w:val="clear" w:color="auto" w:fill="FFFFFF"/>
              </w:rPr>
              <w:t xml:space="preserve">ethical implications of utilizing attorney fee awards as a source of funding for the organization represented by the special interest lawyer. </w:t>
            </w:r>
          </w:p>
        </w:tc>
        <w:tc>
          <w:tcPr>
            <w:tcW w:w="1803" w:type="dxa"/>
            <w:vAlign w:val="center"/>
          </w:tcPr>
          <w:p w14:paraId="6DA5664B" w14:textId="77777777" w:rsidR="00A4169E" w:rsidRPr="00C26210" w:rsidRDefault="00A4169E" w:rsidP="00195EF4">
            <w:pPr>
              <w:pStyle w:val="ListParagraph"/>
              <w:ind w:left="0"/>
              <w:jc w:val="center"/>
              <w:rPr>
                <w:sz w:val="20"/>
                <w:szCs w:val="20"/>
              </w:rPr>
            </w:pPr>
          </w:p>
        </w:tc>
      </w:tr>
    </w:tbl>
    <w:p w14:paraId="553A19BC" w14:textId="77777777" w:rsidR="001323FB" w:rsidRDefault="001323FB" w:rsidP="001323FB">
      <w:pPr>
        <w:rPr>
          <w:sz w:val="20"/>
          <w:szCs w:val="20"/>
        </w:rPr>
      </w:pPr>
    </w:p>
    <w:p w14:paraId="30FA1525"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lastRenderedPageBreak/>
        <w:t>Public Service (Complete at least one)</w:t>
      </w:r>
    </w:p>
    <w:p w14:paraId="0509E9BD"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1323FB" w:rsidRPr="00C26210" w14:paraId="690C3DC0" w14:textId="77777777" w:rsidTr="00195EF4">
        <w:trPr>
          <w:cantSplit/>
          <w:jc w:val="center"/>
        </w:trPr>
        <w:tc>
          <w:tcPr>
            <w:tcW w:w="7297" w:type="dxa"/>
            <w:vAlign w:val="center"/>
          </w:tcPr>
          <w:p w14:paraId="68589B1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6" w:type="dxa"/>
            <w:vAlign w:val="center"/>
          </w:tcPr>
          <w:p w14:paraId="2A430B10"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446E2A6E" w14:textId="77777777" w:rsidTr="00195EF4">
        <w:trPr>
          <w:cantSplit/>
          <w:jc w:val="center"/>
        </w:trPr>
        <w:tc>
          <w:tcPr>
            <w:tcW w:w="7297" w:type="dxa"/>
            <w:tcMar>
              <w:top w:w="43" w:type="dxa"/>
              <w:left w:w="115" w:type="dxa"/>
              <w:bottom w:w="43" w:type="dxa"/>
              <w:right w:w="115" w:type="dxa"/>
            </w:tcMar>
            <w:vAlign w:val="center"/>
          </w:tcPr>
          <w:p w14:paraId="15A9DFE5" w14:textId="5C738EAF" w:rsidR="001323FB" w:rsidRPr="00C26210" w:rsidRDefault="001323FB" w:rsidP="00CC08FE">
            <w:pPr>
              <w:pStyle w:val="ListParagraph"/>
              <w:ind w:left="0"/>
              <w:jc w:val="both"/>
              <w:rPr>
                <w:sz w:val="20"/>
                <w:szCs w:val="20"/>
              </w:rPr>
            </w:pPr>
            <w:r w:rsidRPr="00C26210">
              <w:rPr>
                <w:sz w:val="20"/>
                <w:szCs w:val="20"/>
              </w:rPr>
              <w:t xml:space="preserve">Acquaint </w:t>
            </w:r>
            <w:r w:rsidR="00562B11">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30FF124F" w14:textId="77777777" w:rsidR="001323FB" w:rsidRPr="00C26210" w:rsidRDefault="001323FB" w:rsidP="00195EF4">
            <w:pPr>
              <w:pStyle w:val="ListParagraph"/>
              <w:ind w:left="0"/>
              <w:jc w:val="center"/>
              <w:rPr>
                <w:sz w:val="20"/>
                <w:szCs w:val="20"/>
              </w:rPr>
            </w:pPr>
          </w:p>
        </w:tc>
      </w:tr>
      <w:tr w:rsidR="001323FB" w:rsidRPr="00C26210" w14:paraId="3CB6D4B4" w14:textId="77777777" w:rsidTr="00195EF4">
        <w:trPr>
          <w:cantSplit/>
          <w:jc w:val="center"/>
        </w:trPr>
        <w:tc>
          <w:tcPr>
            <w:tcW w:w="7297" w:type="dxa"/>
            <w:tcMar>
              <w:top w:w="43" w:type="dxa"/>
              <w:left w:w="115" w:type="dxa"/>
              <w:bottom w:w="43" w:type="dxa"/>
              <w:right w:w="115" w:type="dxa"/>
            </w:tcMar>
            <w:vAlign w:val="center"/>
          </w:tcPr>
          <w:p w14:paraId="515E8D9C" w14:textId="210F7262" w:rsidR="001323FB" w:rsidRPr="00C26210" w:rsidRDefault="001323FB" w:rsidP="00CC08FE">
            <w:pPr>
              <w:pStyle w:val="ListParagraph"/>
              <w:ind w:left="0"/>
              <w:jc w:val="both"/>
              <w:rPr>
                <w:sz w:val="20"/>
                <w:szCs w:val="20"/>
              </w:rPr>
            </w:pPr>
            <w:r>
              <w:rPr>
                <w:sz w:val="20"/>
                <w:szCs w:val="20"/>
              </w:rPr>
              <w:t>Mentee</w:t>
            </w:r>
            <w:r w:rsidRPr="00C26210">
              <w:rPr>
                <w:sz w:val="20"/>
                <w:szCs w:val="20"/>
              </w:rPr>
              <w:t xml:space="preserve"> attends a civic club of which </w:t>
            </w:r>
            <w:r w:rsidR="00562B11">
              <w:rPr>
                <w:sz w:val="20"/>
                <w:szCs w:val="20"/>
              </w:rPr>
              <w:t>Mentor</w:t>
            </w:r>
            <w:r w:rsidRPr="00C26210">
              <w:rPr>
                <w:sz w:val="20"/>
                <w:szCs w:val="20"/>
              </w:rPr>
              <w:t xml:space="preserve"> is a member or some other community service activity in which </w:t>
            </w:r>
            <w:r w:rsidR="00562B11">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336B76BC" w14:textId="77777777" w:rsidR="001323FB" w:rsidRPr="00C26210" w:rsidRDefault="001323FB" w:rsidP="00195EF4">
            <w:pPr>
              <w:pStyle w:val="ListParagraph"/>
              <w:ind w:left="0"/>
              <w:jc w:val="center"/>
              <w:rPr>
                <w:sz w:val="20"/>
                <w:szCs w:val="20"/>
              </w:rPr>
            </w:pPr>
          </w:p>
        </w:tc>
      </w:tr>
      <w:tr w:rsidR="001323FB" w:rsidRPr="00C26210" w14:paraId="6D6B7E83" w14:textId="77777777" w:rsidTr="00195EF4">
        <w:trPr>
          <w:cantSplit/>
          <w:jc w:val="center"/>
        </w:trPr>
        <w:tc>
          <w:tcPr>
            <w:tcW w:w="7297" w:type="dxa"/>
            <w:tcMar>
              <w:top w:w="43" w:type="dxa"/>
              <w:left w:w="115" w:type="dxa"/>
              <w:bottom w:w="43" w:type="dxa"/>
              <w:right w:w="115" w:type="dxa"/>
            </w:tcMar>
            <w:vAlign w:val="center"/>
          </w:tcPr>
          <w:p w14:paraId="4D0ABF07" w14:textId="77777777" w:rsidR="001323FB" w:rsidRPr="00C26210" w:rsidRDefault="001323FB" w:rsidP="00CC08FE">
            <w:pPr>
              <w:pStyle w:val="ListParagraph"/>
              <w:ind w:left="0"/>
              <w:jc w:val="both"/>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304F4DE1" w14:textId="77777777" w:rsidR="001323FB" w:rsidRPr="00C26210" w:rsidRDefault="001323FB" w:rsidP="00195EF4">
            <w:pPr>
              <w:pStyle w:val="ListParagraph"/>
              <w:ind w:left="0"/>
              <w:jc w:val="center"/>
              <w:rPr>
                <w:sz w:val="20"/>
                <w:szCs w:val="20"/>
              </w:rPr>
            </w:pPr>
          </w:p>
        </w:tc>
      </w:tr>
      <w:tr w:rsidR="00BA44A1" w:rsidRPr="00C26210" w14:paraId="21FFF166" w14:textId="77777777" w:rsidTr="00195EF4">
        <w:trPr>
          <w:cantSplit/>
          <w:jc w:val="center"/>
        </w:trPr>
        <w:tc>
          <w:tcPr>
            <w:tcW w:w="7297" w:type="dxa"/>
            <w:tcMar>
              <w:top w:w="43" w:type="dxa"/>
              <w:left w:w="115" w:type="dxa"/>
              <w:bottom w:w="43" w:type="dxa"/>
              <w:right w:w="115" w:type="dxa"/>
            </w:tcMar>
            <w:vAlign w:val="center"/>
          </w:tcPr>
          <w:p w14:paraId="6F3D7B23" w14:textId="7360577F" w:rsidR="00BA44A1" w:rsidRPr="00C26210" w:rsidRDefault="00BA44A1" w:rsidP="00CC08FE">
            <w:pPr>
              <w:pStyle w:val="ListParagraph"/>
              <w:ind w:left="0"/>
              <w:jc w:val="both"/>
              <w:rPr>
                <w:sz w:val="20"/>
                <w:szCs w:val="20"/>
              </w:rPr>
            </w:pPr>
            <w:r>
              <w:rPr>
                <w:sz w:val="20"/>
                <w:szCs w:val="20"/>
              </w:rPr>
              <w:t xml:space="preserve">The pair uses the </w:t>
            </w:r>
            <w:hyperlink r:id="rId18" w:history="1">
              <w:r>
                <w:rPr>
                  <w:rStyle w:val="Hyperlink"/>
                  <w:sz w:val="20"/>
                  <w:szCs w:val="20"/>
                </w:rPr>
                <w:t>Succession to Service</w:t>
              </w:r>
            </w:hyperlink>
            <w:r>
              <w:rPr>
                <w:sz w:val="20"/>
                <w:szCs w:val="20"/>
              </w:rPr>
              <w:t xml:space="preserve"> platform to find a pro bono opportunity relevant to </w:t>
            </w:r>
            <w:r w:rsidR="00562B11">
              <w:rPr>
                <w:sz w:val="20"/>
                <w:szCs w:val="20"/>
              </w:rPr>
              <w:t>Mentee</w:t>
            </w:r>
            <w:r>
              <w:rPr>
                <w:sz w:val="20"/>
                <w:szCs w:val="20"/>
              </w:rPr>
              <w:t>’s practice of law. Discuss the reasons for making time to engage in volunteer legal service to the public.</w:t>
            </w:r>
          </w:p>
        </w:tc>
        <w:tc>
          <w:tcPr>
            <w:tcW w:w="1806" w:type="dxa"/>
            <w:vAlign w:val="center"/>
          </w:tcPr>
          <w:p w14:paraId="24A9D292" w14:textId="77777777" w:rsidR="00BA44A1" w:rsidRPr="00C26210" w:rsidRDefault="00BA44A1" w:rsidP="00195EF4">
            <w:pPr>
              <w:pStyle w:val="ListParagraph"/>
              <w:ind w:left="0"/>
              <w:jc w:val="center"/>
              <w:rPr>
                <w:sz w:val="20"/>
                <w:szCs w:val="20"/>
              </w:rPr>
            </w:pPr>
          </w:p>
        </w:tc>
      </w:tr>
    </w:tbl>
    <w:p w14:paraId="4FE15642" w14:textId="77777777" w:rsidR="001323FB" w:rsidRPr="00C26210" w:rsidRDefault="001323FB" w:rsidP="001323FB">
      <w:pPr>
        <w:rPr>
          <w:sz w:val="20"/>
          <w:szCs w:val="20"/>
        </w:rPr>
      </w:pPr>
    </w:p>
    <w:p w14:paraId="12B706C2" w14:textId="77777777" w:rsidR="00762241" w:rsidRDefault="00762241"/>
    <w:sectPr w:rsidR="00762241" w:rsidSect="00195EF4">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EDDD" w14:textId="77777777" w:rsidR="00363717" w:rsidRDefault="00363717" w:rsidP="001323FB">
      <w:r>
        <w:separator/>
      </w:r>
    </w:p>
  </w:endnote>
  <w:endnote w:type="continuationSeparator" w:id="0">
    <w:p w14:paraId="0CC364BD" w14:textId="77777777" w:rsidR="00363717" w:rsidRDefault="00363717" w:rsidP="0013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3B32" w14:textId="77777777" w:rsidR="00363717" w:rsidRDefault="00363717" w:rsidP="001323FB">
      <w:r>
        <w:separator/>
      </w:r>
    </w:p>
  </w:footnote>
  <w:footnote w:type="continuationSeparator" w:id="0">
    <w:p w14:paraId="36147D08" w14:textId="77777777" w:rsidR="00363717" w:rsidRDefault="00363717" w:rsidP="0013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3998" w14:textId="77777777" w:rsidR="007E7F92" w:rsidRDefault="007E7F92" w:rsidP="001323FB">
    <w:pPr>
      <w:pStyle w:val="Header"/>
      <w:jc w:val="right"/>
      <w:rPr>
        <w:sz w:val="20"/>
        <w:szCs w:val="20"/>
      </w:rPr>
    </w:pPr>
    <w:r>
      <w:rPr>
        <w:sz w:val="20"/>
        <w:szCs w:val="20"/>
      </w:rPr>
      <w:t xml:space="preserve">Colorado Attorney Mentoring Program </w:t>
    </w:r>
  </w:p>
  <w:p w14:paraId="75C25CA6" w14:textId="77777777" w:rsidR="007E7F92" w:rsidRPr="00FE7DAC" w:rsidRDefault="007E7F92" w:rsidP="001323FB">
    <w:pPr>
      <w:pStyle w:val="Header"/>
      <w:jc w:val="right"/>
      <w:rPr>
        <w:sz w:val="20"/>
        <w:szCs w:val="20"/>
      </w:rPr>
    </w:pPr>
    <w:r>
      <w:rPr>
        <w:sz w:val="20"/>
        <w:szCs w:val="20"/>
      </w:rPr>
      <w:t xml:space="preserve">Mentoring Plan Template for Government </w:t>
    </w:r>
    <w:r w:rsidR="00D2670C">
      <w:rPr>
        <w:sz w:val="20"/>
        <w:szCs w:val="20"/>
      </w:rPr>
      <w:t xml:space="preserve">&amp; Public Interest </w:t>
    </w:r>
    <w:r>
      <w:rPr>
        <w:sz w:val="20"/>
        <w:szCs w:val="20"/>
      </w:rPr>
      <w:t>Attorneys</w:t>
    </w:r>
  </w:p>
  <w:p w14:paraId="3C6943BE" w14:textId="77777777" w:rsidR="007E7F92" w:rsidRPr="0051697F" w:rsidRDefault="007E7F92" w:rsidP="001323FB">
    <w:pPr>
      <w:pStyle w:val="Footer"/>
      <w:jc w:val="right"/>
      <w:rPr>
        <w:sz w:val="20"/>
        <w:szCs w:val="20"/>
      </w:rPr>
    </w:pPr>
    <w:r w:rsidRPr="00111A29">
      <w:rPr>
        <w:sz w:val="20"/>
        <w:szCs w:val="20"/>
      </w:rPr>
      <w:t xml:space="preserve">Page </w:t>
    </w:r>
    <w:r w:rsidR="00E4502F" w:rsidRPr="00111A29">
      <w:rPr>
        <w:sz w:val="20"/>
        <w:szCs w:val="20"/>
      </w:rPr>
      <w:fldChar w:fldCharType="begin"/>
    </w:r>
    <w:r w:rsidRPr="00111A29">
      <w:rPr>
        <w:sz w:val="20"/>
        <w:szCs w:val="20"/>
      </w:rPr>
      <w:instrText xml:space="preserve"> PAGE </w:instrText>
    </w:r>
    <w:r w:rsidR="00E4502F" w:rsidRPr="00111A29">
      <w:rPr>
        <w:sz w:val="20"/>
        <w:szCs w:val="20"/>
      </w:rPr>
      <w:fldChar w:fldCharType="separate"/>
    </w:r>
    <w:r w:rsidR="00506172">
      <w:rPr>
        <w:noProof/>
        <w:sz w:val="20"/>
        <w:szCs w:val="20"/>
      </w:rPr>
      <w:t>7</w:t>
    </w:r>
    <w:r w:rsidR="00E4502F" w:rsidRPr="00111A29">
      <w:rPr>
        <w:sz w:val="20"/>
        <w:szCs w:val="20"/>
      </w:rPr>
      <w:fldChar w:fldCharType="end"/>
    </w:r>
    <w:r w:rsidRPr="00111A29">
      <w:rPr>
        <w:sz w:val="20"/>
        <w:szCs w:val="20"/>
      </w:rPr>
      <w:t xml:space="preserve"> of </w:t>
    </w:r>
    <w:r w:rsidR="00E4502F" w:rsidRPr="00111A29">
      <w:rPr>
        <w:sz w:val="20"/>
        <w:szCs w:val="20"/>
      </w:rPr>
      <w:fldChar w:fldCharType="begin"/>
    </w:r>
    <w:r w:rsidRPr="00111A29">
      <w:rPr>
        <w:sz w:val="20"/>
        <w:szCs w:val="20"/>
      </w:rPr>
      <w:instrText xml:space="preserve"> NUMPAGES  </w:instrText>
    </w:r>
    <w:r w:rsidR="00E4502F" w:rsidRPr="00111A29">
      <w:rPr>
        <w:sz w:val="20"/>
        <w:szCs w:val="20"/>
      </w:rPr>
      <w:fldChar w:fldCharType="separate"/>
    </w:r>
    <w:r w:rsidR="00506172">
      <w:rPr>
        <w:noProof/>
        <w:sz w:val="20"/>
        <w:szCs w:val="20"/>
      </w:rPr>
      <w:t>7</w:t>
    </w:r>
    <w:r w:rsidR="00E4502F" w:rsidRPr="00111A29">
      <w:rPr>
        <w:sz w:val="20"/>
        <w:szCs w:val="20"/>
      </w:rPr>
      <w:fldChar w:fldCharType="end"/>
    </w:r>
  </w:p>
  <w:p w14:paraId="2D58982E" w14:textId="77777777" w:rsidR="007E7F92" w:rsidRDefault="007E7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7632" w14:textId="77777777" w:rsidR="007E7F92" w:rsidRPr="00C105D8" w:rsidRDefault="003839E0" w:rsidP="00195EF4">
    <w:pPr>
      <w:pStyle w:val="Header"/>
      <w:jc w:val="center"/>
    </w:pPr>
    <w:r>
      <w:rPr>
        <w:noProof/>
      </w:rPr>
      <w:drawing>
        <wp:inline distT="0" distB="0" distL="0" distR="0" wp14:anchorId="481FD4AF" wp14:editId="082F0A61">
          <wp:extent cx="141922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419236" cy="1419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AD"/>
    <w:multiLevelType w:val="multilevel"/>
    <w:tmpl w:val="679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219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20233">
    <w:abstractNumId w:val="3"/>
  </w:num>
  <w:num w:numId="2" w16cid:durableId="867447628">
    <w:abstractNumId w:val="6"/>
  </w:num>
  <w:num w:numId="3" w16cid:durableId="226382234">
    <w:abstractNumId w:val="7"/>
  </w:num>
  <w:num w:numId="4" w16cid:durableId="1279337506">
    <w:abstractNumId w:val="0"/>
  </w:num>
  <w:num w:numId="5" w16cid:durableId="1174030186">
    <w:abstractNumId w:val="2"/>
  </w:num>
  <w:num w:numId="6" w16cid:durableId="898175614">
    <w:abstractNumId w:val="5"/>
  </w:num>
  <w:num w:numId="7" w16cid:durableId="700937006">
    <w:abstractNumId w:val="1"/>
  </w:num>
  <w:num w:numId="8" w16cid:durableId="374937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FB"/>
    <w:rsid w:val="000407B4"/>
    <w:rsid w:val="00056C3D"/>
    <w:rsid w:val="00083090"/>
    <w:rsid w:val="00095755"/>
    <w:rsid w:val="000F0FF8"/>
    <w:rsid w:val="001024A1"/>
    <w:rsid w:val="00105C37"/>
    <w:rsid w:val="001323FB"/>
    <w:rsid w:val="00195EF4"/>
    <w:rsid w:val="001B0DDA"/>
    <w:rsid w:val="002160B9"/>
    <w:rsid w:val="0027252B"/>
    <w:rsid w:val="00272BED"/>
    <w:rsid w:val="002A16CC"/>
    <w:rsid w:val="002F680C"/>
    <w:rsid w:val="00363717"/>
    <w:rsid w:val="00381A3D"/>
    <w:rsid w:val="003839E0"/>
    <w:rsid w:val="003D5B04"/>
    <w:rsid w:val="003E44D8"/>
    <w:rsid w:val="003F1162"/>
    <w:rsid w:val="003F66F4"/>
    <w:rsid w:val="004130B9"/>
    <w:rsid w:val="00443067"/>
    <w:rsid w:val="00487914"/>
    <w:rsid w:val="00506172"/>
    <w:rsid w:val="0055213E"/>
    <w:rsid w:val="00562B11"/>
    <w:rsid w:val="005B7DBC"/>
    <w:rsid w:val="005C5E4D"/>
    <w:rsid w:val="005D3992"/>
    <w:rsid w:val="005E3A1F"/>
    <w:rsid w:val="005F56DD"/>
    <w:rsid w:val="00613F01"/>
    <w:rsid w:val="0063549A"/>
    <w:rsid w:val="00635DA9"/>
    <w:rsid w:val="0067035F"/>
    <w:rsid w:val="00684374"/>
    <w:rsid w:val="006F1CE8"/>
    <w:rsid w:val="007203C7"/>
    <w:rsid w:val="007366FE"/>
    <w:rsid w:val="007368AD"/>
    <w:rsid w:val="00762241"/>
    <w:rsid w:val="00777C5F"/>
    <w:rsid w:val="007E7F92"/>
    <w:rsid w:val="007F44FF"/>
    <w:rsid w:val="00905C35"/>
    <w:rsid w:val="00991333"/>
    <w:rsid w:val="009A3EC9"/>
    <w:rsid w:val="009E588E"/>
    <w:rsid w:val="00A129AF"/>
    <w:rsid w:val="00A4169E"/>
    <w:rsid w:val="00A47AE2"/>
    <w:rsid w:val="00A676A6"/>
    <w:rsid w:val="00AC55A4"/>
    <w:rsid w:val="00B27F34"/>
    <w:rsid w:val="00B42CC8"/>
    <w:rsid w:val="00B51113"/>
    <w:rsid w:val="00B60BB6"/>
    <w:rsid w:val="00B72825"/>
    <w:rsid w:val="00BA44A1"/>
    <w:rsid w:val="00BD0D5D"/>
    <w:rsid w:val="00BE09D7"/>
    <w:rsid w:val="00C570E0"/>
    <w:rsid w:val="00CC08FE"/>
    <w:rsid w:val="00D2670C"/>
    <w:rsid w:val="00D365B0"/>
    <w:rsid w:val="00D657CB"/>
    <w:rsid w:val="00D80CE1"/>
    <w:rsid w:val="00E4502F"/>
    <w:rsid w:val="00ED34B7"/>
    <w:rsid w:val="00F4218D"/>
    <w:rsid w:val="00FA7A59"/>
    <w:rsid w:val="00FB6090"/>
    <w:rsid w:val="00FB78AA"/>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3821"/>
  <w15:docId w15:val="{FCCDC99C-5DBA-43E5-ACA9-5F57FB9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F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FB"/>
    <w:pPr>
      <w:ind w:left="720"/>
      <w:contextualSpacing/>
    </w:pPr>
  </w:style>
  <w:style w:type="paragraph" w:styleId="Header">
    <w:name w:val="header"/>
    <w:basedOn w:val="Normal"/>
    <w:link w:val="HeaderChar"/>
    <w:unhideWhenUsed/>
    <w:rsid w:val="001323FB"/>
    <w:pPr>
      <w:tabs>
        <w:tab w:val="center" w:pos="4680"/>
        <w:tab w:val="right" w:pos="9360"/>
      </w:tabs>
    </w:pPr>
  </w:style>
  <w:style w:type="character" w:customStyle="1" w:styleId="HeaderChar">
    <w:name w:val="Header Char"/>
    <w:basedOn w:val="DefaultParagraphFont"/>
    <w:link w:val="Header"/>
    <w:rsid w:val="001323FB"/>
    <w:rPr>
      <w:rFonts w:ascii="Times New Roman" w:eastAsia="Calibri" w:hAnsi="Times New Roman" w:cs="Times New Roman"/>
      <w:sz w:val="24"/>
    </w:rPr>
  </w:style>
  <w:style w:type="paragraph" w:styleId="Footer">
    <w:name w:val="footer"/>
    <w:basedOn w:val="Normal"/>
    <w:link w:val="FooterChar"/>
    <w:uiPriority w:val="99"/>
    <w:unhideWhenUsed/>
    <w:rsid w:val="001323FB"/>
    <w:pPr>
      <w:tabs>
        <w:tab w:val="center" w:pos="4680"/>
        <w:tab w:val="right" w:pos="9360"/>
      </w:tabs>
    </w:pPr>
  </w:style>
  <w:style w:type="character" w:customStyle="1" w:styleId="FooterChar">
    <w:name w:val="Footer Char"/>
    <w:basedOn w:val="DefaultParagraphFont"/>
    <w:link w:val="Footer"/>
    <w:uiPriority w:val="99"/>
    <w:rsid w:val="001323FB"/>
    <w:rPr>
      <w:rFonts w:ascii="Times New Roman" w:eastAsia="Calibri" w:hAnsi="Times New Roman" w:cs="Times New Roman"/>
      <w:sz w:val="24"/>
    </w:rPr>
  </w:style>
  <w:style w:type="paragraph" w:styleId="NormalWeb">
    <w:name w:val="Normal (Web)"/>
    <w:basedOn w:val="Normal"/>
    <w:uiPriority w:val="99"/>
    <w:unhideWhenUsed/>
    <w:rsid w:val="00487914"/>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F56DD"/>
  </w:style>
  <w:style w:type="character" w:styleId="Hyperlink">
    <w:name w:val="Hyperlink"/>
    <w:basedOn w:val="DefaultParagraphFont"/>
    <w:uiPriority w:val="99"/>
    <w:unhideWhenUsed/>
    <w:rsid w:val="00D2670C"/>
    <w:rPr>
      <w:color w:val="0000FF"/>
      <w:u w:val="single"/>
    </w:rPr>
  </w:style>
  <w:style w:type="character" w:styleId="Emphasis">
    <w:name w:val="Emphasis"/>
    <w:basedOn w:val="DefaultParagraphFont"/>
    <w:uiPriority w:val="20"/>
    <w:qFormat/>
    <w:rsid w:val="00D2670C"/>
    <w:rPr>
      <w:i/>
      <w:iCs/>
    </w:rPr>
  </w:style>
  <w:style w:type="character" w:customStyle="1" w:styleId="citationurl-text">
    <w:name w:val="citation__url-text"/>
    <w:basedOn w:val="DefaultParagraphFont"/>
    <w:rsid w:val="00D2670C"/>
  </w:style>
  <w:style w:type="paragraph" w:styleId="BalloonText">
    <w:name w:val="Balloon Text"/>
    <w:basedOn w:val="Normal"/>
    <w:link w:val="BalloonTextChar"/>
    <w:uiPriority w:val="99"/>
    <w:semiHidden/>
    <w:unhideWhenUsed/>
    <w:rsid w:val="00CC08FE"/>
    <w:rPr>
      <w:rFonts w:ascii="Tahoma" w:hAnsi="Tahoma" w:cs="Tahoma"/>
      <w:sz w:val="16"/>
      <w:szCs w:val="16"/>
    </w:rPr>
  </w:style>
  <w:style w:type="character" w:customStyle="1" w:styleId="BalloonTextChar">
    <w:name w:val="Balloon Text Char"/>
    <w:basedOn w:val="DefaultParagraphFont"/>
    <w:link w:val="BalloonText"/>
    <w:uiPriority w:val="99"/>
    <w:semiHidden/>
    <w:rsid w:val="00CC08FE"/>
    <w:rPr>
      <w:rFonts w:ascii="Tahoma" w:eastAsia="Calibri" w:hAnsi="Tahoma" w:cs="Tahoma"/>
      <w:sz w:val="16"/>
      <w:szCs w:val="16"/>
    </w:rPr>
  </w:style>
  <w:style w:type="character" w:styleId="FollowedHyperlink">
    <w:name w:val="FollowedHyperlink"/>
    <w:basedOn w:val="DefaultParagraphFont"/>
    <w:uiPriority w:val="99"/>
    <w:semiHidden/>
    <w:unhideWhenUsed/>
    <w:rsid w:val="000F0FF8"/>
    <w:rPr>
      <w:color w:val="919191" w:themeColor="followedHyperlink"/>
      <w:u w:val="single"/>
    </w:rPr>
  </w:style>
  <w:style w:type="character" w:styleId="CommentReference">
    <w:name w:val="annotation reference"/>
    <w:basedOn w:val="DefaultParagraphFont"/>
    <w:uiPriority w:val="99"/>
    <w:semiHidden/>
    <w:unhideWhenUsed/>
    <w:rsid w:val="002F680C"/>
    <w:rPr>
      <w:sz w:val="16"/>
      <w:szCs w:val="16"/>
    </w:rPr>
  </w:style>
  <w:style w:type="paragraph" w:styleId="CommentText">
    <w:name w:val="annotation text"/>
    <w:basedOn w:val="Normal"/>
    <w:link w:val="CommentTextChar"/>
    <w:uiPriority w:val="99"/>
    <w:semiHidden/>
    <w:unhideWhenUsed/>
    <w:rsid w:val="002F680C"/>
    <w:rPr>
      <w:sz w:val="20"/>
      <w:szCs w:val="20"/>
    </w:rPr>
  </w:style>
  <w:style w:type="character" w:customStyle="1" w:styleId="CommentTextChar">
    <w:name w:val="Comment Text Char"/>
    <w:basedOn w:val="DefaultParagraphFont"/>
    <w:link w:val="CommentText"/>
    <w:uiPriority w:val="99"/>
    <w:semiHidden/>
    <w:rsid w:val="002F68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0C"/>
    <w:rPr>
      <w:b/>
      <w:bCs/>
    </w:rPr>
  </w:style>
  <w:style w:type="character" w:customStyle="1" w:styleId="CommentSubjectChar">
    <w:name w:val="Comment Subject Char"/>
    <w:basedOn w:val="CommentTextChar"/>
    <w:link w:val="CommentSubject"/>
    <w:uiPriority w:val="99"/>
    <w:semiHidden/>
    <w:rsid w:val="002F680C"/>
    <w:rPr>
      <w:rFonts w:ascii="Times New Roman" w:eastAsia="Calibri" w:hAnsi="Times New Roman" w:cs="Times New Roman"/>
      <w:b/>
      <w:bCs/>
      <w:sz w:val="20"/>
      <w:szCs w:val="20"/>
    </w:rPr>
  </w:style>
  <w:style w:type="paragraph" w:styleId="Revision">
    <w:name w:val="Revision"/>
    <w:hidden/>
    <w:uiPriority w:val="99"/>
    <w:semiHidden/>
    <w:rsid w:val="006F1CE8"/>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63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707">
      <w:bodyDiv w:val="1"/>
      <w:marLeft w:val="0"/>
      <w:marRight w:val="0"/>
      <w:marTop w:val="0"/>
      <w:marBottom w:val="0"/>
      <w:divBdr>
        <w:top w:val="none" w:sz="0" w:space="0" w:color="auto"/>
        <w:left w:val="none" w:sz="0" w:space="0" w:color="auto"/>
        <w:bottom w:val="none" w:sz="0" w:space="0" w:color="auto"/>
        <w:right w:val="none" w:sz="0" w:space="0" w:color="auto"/>
      </w:divBdr>
    </w:div>
    <w:div w:id="5555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mentoring.org/wp-content/uploads/2018/06/Initial-Meeting-Guide-Goal-Plan-June-2018.pdf" TargetMode="External"/><Relationship Id="rId13" Type="http://schemas.openxmlformats.org/officeDocument/2006/relationships/hyperlink" Target="https://coloradomentoring.org/wp-content/uploads/2022/01/I&#8217;m-a-Lawyer-Not-a-Fighter_-Conquering-Lawyer-Bullies.pdf" TargetMode="External"/><Relationship Id="rId18" Type="http://schemas.openxmlformats.org/officeDocument/2006/relationships/hyperlink" Target="https://app.joinpaladin.com/succession-to-ser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ttorneyatwork.com/survival-skill-no-1-for-lawyers-emotional-resilience/" TargetMode="External"/><Relationship Id="rId17" Type="http://schemas.openxmlformats.org/officeDocument/2006/relationships/hyperlink" Target="https://www.cobar.org/For-Members/Opinions-Rules-Statutes/Rules-of-Professional-Conduct/Rule-38-Special-Responsibilities-of-a-Prosecutor" TargetMode="External"/><Relationship Id="rId2" Type="http://schemas.openxmlformats.org/officeDocument/2006/relationships/numbering" Target="numbering.xml"/><Relationship Id="rId16" Type="http://schemas.openxmlformats.org/officeDocument/2006/relationships/hyperlink" Target="https://coloradomentoring.org/wp-content/uploads/2022/01/How-to-Build-Successful-Work-Relationships-with-Paralegals-and-Assista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vethelaw.com/2016/02/3-ways-lawyers-can-become-more-resilient/" TargetMode="External"/><Relationship Id="rId5" Type="http://schemas.openxmlformats.org/officeDocument/2006/relationships/webSettings" Target="webSettings.xml"/><Relationship Id="rId15" Type="http://schemas.openxmlformats.org/officeDocument/2006/relationships/hyperlink" Target="http://coloradomentoring.org/wp-content/uploads/2013/09/I-dont-feel-your-pain.pdf" TargetMode="External"/><Relationship Id="rId10" Type="http://schemas.openxmlformats.org/officeDocument/2006/relationships/hyperlink" Target="https://www.americanbar.org/content/dam/aba/administrative/lawyer_assistance/ls_colap_well-being_toolkit_for_lawyers_legal_employers.authcheckdam.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fPxGz51Sy0" TargetMode="External"/><Relationship Id="rId14" Type="http://schemas.openxmlformats.org/officeDocument/2006/relationships/hyperlink" Target="http://coloradomentoring.org/wp-content/uploads/2013/09/Mamounas-J-Fire-and-Ice-An-Associates-View-of-Partners-Litigation-2013.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C918-C111-4813-AE51-73533879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CAMP Peyton</cp:lastModifiedBy>
  <cp:revision>29</cp:revision>
  <cp:lastPrinted>2019-07-15T22:44:00Z</cp:lastPrinted>
  <dcterms:created xsi:type="dcterms:W3CDTF">2019-07-15T22:44:00Z</dcterms:created>
  <dcterms:modified xsi:type="dcterms:W3CDTF">2023-01-19T20:06:00Z</dcterms:modified>
</cp:coreProperties>
</file>